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right" w:leader="dot" w:pos="9288"/>
        </w:tabs>
        <w:rPr>
          <w:rFonts w:hint="default" w:ascii="Times New Roman" w:hAnsi="Times New Roman" w:cs="Times New Roman"/>
          <w:szCs w:val="22"/>
        </w:rPr>
      </w:pPr>
      <w:r>
        <w:rPr>
          <w:rFonts w:hint="default" w:ascii="Times New Roman" w:hAnsi="Times New Roman" w:eastAsia="仿宋_GB2312" w:cs="Times New Roman"/>
          <w:sz w:val="36"/>
          <w:szCs w:val="36"/>
        </w:rPr>
        <w:fldChar w:fldCharType="begin"/>
      </w:r>
      <w:r>
        <w:rPr>
          <w:rFonts w:hint="default" w:ascii="Times New Roman" w:hAnsi="Times New Roman" w:eastAsia="仿宋_GB2312" w:cs="Times New Roman"/>
          <w:sz w:val="36"/>
          <w:szCs w:val="36"/>
        </w:rPr>
        <w:instrText xml:space="preserve"> TOC \o "1-1" \h \z \u </w:instrText>
      </w:r>
      <w:r>
        <w:rPr>
          <w:rFonts w:hint="default" w:ascii="Times New Roman" w:hAnsi="Times New Roman" w:eastAsia="仿宋_GB2312" w:cs="Times New Roman"/>
          <w:sz w:val="36"/>
          <w:szCs w:val="36"/>
        </w:rPr>
        <w:fldChar w:fldCharType="separate"/>
      </w:r>
    </w:p>
    <w:p>
      <w:pPr>
        <w:jc w:val="center"/>
        <w:rPr>
          <w:rFonts w:hint="default" w:ascii="Times New Roman" w:hAnsi="Times New Roman" w:eastAsia="仿宋_GB2312" w:cs="Times New Roman"/>
          <w:b/>
          <w:sz w:val="36"/>
          <w:szCs w:val="36"/>
        </w:rPr>
      </w:pPr>
      <w:r>
        <w:rPr>
          <w:rFonts w:hint="default" w:ascii="Times New Roman" w:hAnsi="Times New Roman" w:eastAsia="仿宋_GB2312" w:cs="Times New Roman"/>
          <w:sz w:val="36"/>
          <w:szCs w:val="36"/>
        </w:rPr>
        <w:fldChar w:fldCharType="end"/>
      </w:r>
    </w:p>
    <w:p>
      <w:pPr>
        <w:jc w:val="center"/>
        <w:rPr>
          <w:rFonts w:hint="default" w:ascii="Times New Roman" w:hAnsi="Times New Roman" w:eastAsia="仿宋_GB2312" w:cs="Times New Roman"/>
          <w:sz w:val="36"/>
          <w:szCs w:val="36"/>
        </w:rPr>
      </w:pPr>
    </w:p>
    <w:p>
      <w:pPr>
        <w:jc w:val="center"/>
        <w:rPr>
          <w:rFonts w:hint="default" w:ascii="Times New Roman" w:hAnsi="Times New Roman" w:eastAsia="仿宋_GB2312" w:cs="Times New Roman"/>
          <w:sz w:val="36"/>
          <w:szCs w:val="36"/>
        </w:rPr>
      </w:pPr>
    </w:p>
    <w:p>
      <w:pPr>
        <w:jc w:val="center"/>
        <w:rPr>
          <w:rFonts w:hint="default" w:ascii="Times New Roman" w:hAnsi="Times New Roman" w:eastAsia="仿宋_GB2312" w:cs="Times New Roman"/>
          <w:sz w:val="36"/>
          <w:szCs w:val="36"/>
        </w:rPr>
      </w:pPr>
      <w:r>
        <w:rPr>
          <w:rFonts w:hint="default" w:ascii="Times New Roman" w:hAnsi="Times New Roman" w:eastAsia="方正小标宋_GBK" w:cs="Times New Roman"/>
          <w:bCs/>
          <w:sz w:val="72"/>
          <w:szCs w:val="72"/>
        </w:rPr>
        <w:t>建设项目环境影响报告表</w:t>
      </w:r>
    </w:p>
    <w:p>
      <w:pPr>
        <w:adjustRightInd w:val="0"/>
        <w:snapToGrid w:val="0"/>
        <w:spacing w:before="192" w:beforeLines="80"/>
        <w:jc w:val="center"/>
        <w:rPr>
          <w:rFonts w:hint="default" w:ascii="Times New Roman" w:hAnsi="Times New Roman" w:eastAsia="楷体_GB2312" w:cs="Times New Roman"/>
          <w:bCs/>
          <w:sz w:val="48"/>
          <w:szCs w:val="48"/>
          <w:lang w:eastAsia="zh-CN"/>
        </w:rPr>
      </w:pPr>
      <w:r>
        <w:rPr>
          <w:rFonts w:hint="default" w:ascii="Times New Roman" w:hAnsi="Times New Roman" w:eastAsia="楷体_GB2312" w:cs="Times New Roman"/>
          <w:bCs/>
          <w:sz w:val="48"/>
          <w:szCs w:val="48"/>
        </w:rPr>
        <w:t>（</w:t>
      </w:r>
      <w:r>
        <w:rPr>
          <w:rFonts w:hint="eastAsia" w:eastAsia="楷体_GB2312" w:cs="Times New Roman"/>
          <w:bCs/>
          <w:sz w:val="48"/>
          <w:szCs w:val="48"/>
          <w:lang w:val="en-US" w:eastAsia="zh-CN"/>
        </w:rPr>
        <w:t>报审</w:t>
      </w:r>
      <w:r>
        <w:rPr>
          <w:rFonts w:hint="default" w:ascii="Times New Roman" w:hAnsi="Times New Roman" w:eastAsia="楷体_GB2312" w:cs="Times New Roman"/>
          <w:bCs/>
          <w:sz w:val="48"/>
          <w:szCs w:val="48"/>
        </w:rPr>
        <w:t>版）</w:t>
      </w:r>
    </w:p>
    <w:p>
      <w:pPr>
        <w:pStyle w:val="7"/>
        <w:rPr>
          <w:rFonts w:hint="default" w:ascii="Times New Roman" w:hAnsi="Times New Roman" w:cs="Times New Roman"/>
          <w:lang w:eastAsia="zh-CN"/>
        </w:rPr>
      </w:pPr>
    </w:p>
    <w:p>
      <w:pPr>
        <w:jc w:val="center"/>
        <w:rPr>
          <w:rFonts w:hint="eastAsia" w:ascii="Times New Roman" w:hAnsi="Times New Roman" w:eastAsia="仿宋" w:cs="Times New Roman"/>
          <w:sz w:val="52"/>
          <w:szCs w:val="52"/>
          <w:lang w:eastAsia="zh-CN"/>
        </w:rPr>
      </w:pPr>
    </w:p>
    <w:p>
      <w:pPr>
        <w:jc w:val="center"/>
        <w:rPr>
          <w:rFonts w:hint="default" w:ascii="Times New Roman" w:hAnsi="Times New Roman" w:eastAsia="仿宋" w:cs="Times New Roman"/>
          <w:sz w:val="52"/>
          <w:szCs w:val="52"/>
        </w:rPr>
      </w:pPr>
    </w:p>
    <w:p>
      <w:pPr>
        <w:ind w:firstLine="1040"/>
        <w:rPr>
          <w:rFonts w:hint="eastAsia" w:ascii="Times New Roman" w:hAnsi="Times New Roman" w:eastAsia="仿宋" w:cs="Times New Roman"/>
          <w:sz w:val="44"/>
          <w:szCs w:val="44"/>
          <w:lang w:eastAsia="zh-CN"/>
        </w:rPr>
      </w:pPr>
    </w:p>
    <w:p>
      <w:pPr>
        <w:ind w:firstLine="1040"/>
        <w:rPr>
          <w:rFonts w:hint="default" w:ascii="Times New Roman" w:hAnsi="Times New Roman" w:eastAsia="仿宋" w:cs="Times New Roman"/>
          <w:sz w:val="44"/>
          <w:szCs w:val="44"/>
        </w:rPr>
      </w:pPr>
    </w:p>
    <w:p>
      <w:pPr>
        <w:ind w:firstLine="1040"/>
        <w:rPr>
          <w:rFonts w:hint="default" w:ascii="Times New Roman" w:hAnsi="Times New Roman" w:eastAsia="仿宋" w:cs="Times New Roman"/>
          <w:sz w:val="44"/>
          <w:szCs w:val="44"/>
        </w:rPr>
      </w:pPr>
    </w:p>
    <w:p>
      <w:pPr>
        <w:adjustRightInd w:val="0"/>
        <w:snapToGrid w:val="0"/>
        <w:spacing w:line="288" w:lineRule="auto"/>
        <w:ind w:left="2410" w:leftChars="270" w:hanging="1843"/>
        <w:jc w:val="left"/>
        <w:rPr>
          <w:rFonts w:hint="default" w:ascii="Times New Roman" w:hAnsi="Times New Roman" w:eastAsia="楷体_GB2312" w:cs="Times New Roman"/>
          <w:bCs/>
          <w:sz w:val="30"/>
          <w:szCs w:val="30"/>
          <w:lang w:val="en-US" w:eastAsia="zh-CN"/>
        </w:rPr>
      </w:pPr>
      <w:r>
        <w:rPr>
          <w:rFonts w:hint="default" w:ascii="Times New Roman" w:hAnsi="Times New Roman" w:eastAsia="楷体_GB2312" w:cs="Times New Roman"/>
          <w:bCs/>
          <w:sz w:val="30"/>
          <w:szCs w:val="30"/>
        </w:rPr>
        <w:t>项目名称：</w:t>
      </w:r>
      <w:r>
        <w:rPr>
          <w:rFonts w:hint="default" w:ascii="Times New Roman" w:hAnsi="Times New Roman" w:eastAsia="楷体_GB2312" w:cs="Times New Roman"/>
          <w:bCs/>
          <w:sz w:val="30"/>
          <w:szCs w:val="30"/>
          <w:u w:val="single"/>
          <w:lang w:val="en-US" w:eastAsia="zh-CN"/>
        </w:rPr>
        <w:t xml:space="preserve">        </w:t>
      </w:r>
      <w:r>
        <w:rPr>
          <w:rFonts w:hint="eastAsia" w:eastAsia="楷体_GB2312" w:cs="Times New Roman"/>
          <w:bCs/>
          <w:sz w:val="30"/>
          <w:szCs w:val="30"/>
          <w:u w:val="single"/>
          <w:lang w:val="en-US" w:eastAsia="zh-CN"/>
        </w:rPr>
        <w:t xml:space="preserve">      </w:t>
      </w:r>
      <w:r>
        <w:rPr>
          <w:rFonts w:hint="default" w:ascii="Times New Roman" w:hAnsi="Times New Roman" w:eastAsia="楷体_GB2312" w:cs="Times New Roman"/>
          <w:bCs/>
          <w:sz w:val="30"/>
          <w:szCs w:val="30"/>
          <w:u w:val="single"/>
          <w:lang w:val="en-US" w:eastAsia="zh-CN"/>
        </w:rPr>
        <w:t xml:space="preserve"> </w:t>
      </w:r>
      <w:r>
        <w:rPr>
          <w:rFonts w:hint="eastAsia" w:eastAsia="楷体_GB2312" w:cs="Times New Roman"/>
          <w:bCs/>
          <w:sz w:val="30"/>
          <w:szCs w:val="30"/>
          <w:u w:val="single"/>
          <w:lang w:val="en-US" w:eastAsia="zh-CN"/>
        </w:rPr>
        <w:t>包装配套材料生产</w:t>
      </w:r>
      <w:r>
        <w:rPr>
          <w:rFonts w:hint="default" w:eastAsia="楷体_GB2312" w:cs="Times New Roman"/>
          <w:bCs/>
          <w:sz w:val="30"/>
          <w:szCs w:val="30"/>
          <w:u w:val="single"/>
          <w:lang w:val="en-US" w:eastAsia="zh-CN"/>
        </w:rPr>
        <w:t>项目</w:t>
      </w:r>
      <w:r>
        <w:rPr>
          <w:rFonts w:hint="default" w:ascii="Times New Roman" w:hAnsi="Times New Roman" w:eastAsia="楷体_GB2312" w:cs="Times New Roman"/>
          <w:bCs/>
          <w:sz w:val="30"/>
          <w:szCs w:val="30"/>
          <w:u w:val="single"/>
          <w:lang w:val="en-US" w:eastAsia="zh-CN"/>
        </w:rPr>
        <w:t xml:space="preserve"> </w:t>
      </w:r>
      <w:r>
        <w:rPr>
          <w:rFonts w:hint="eastAsia" w:eastAsia="楷体_GB2312" w:cs="Times New Roman"/>
          <w:bCs/>
          <w:sz w:val="30"/>
          <w:szCs w:val="30"/>
          <w:u w:val="single"/>
          <w:lang w:val="en-US" w:eastAsia="zh-CN"/>
        </w:rPr>
        <w:t xml:space="preserve"> </w:t>
      </w:r>
      <w:r>
        <w:rPr>
          <w:rFonts w:hint="default" w:ascii="Times New Roman" w:hAnsi="Times New Roman" w:eastAsia="楷体_GB2312" w:cs="Times New Roman"/>
          <w:bCs/>
          <w:sz w:val="30"/>
          <w:szCs w:val="30"/>
          <w:u w:val="single"/>
          <w:lang w:val="en-US" w:eastAsia="zh-CN"/>
        </w:rPr>
        <w:t xml:space="preserve"> </w:t>
      </w:r>
      <w:r>
        <w:rPr>
          <w:rFonts w:hint="eastAsia" w:eastAsia="楷体_GB2312" w:cs="Times New Roman"/>
          <w:bCs/>
          <w:sz w:val="30"/>
          <w:szCs w:val="30"/>
          <w:u w:val="single"/>
          <w:lang w:val="en-US" w:eastAsia="zh-CN"/>
        </w:rPr>
        <w:t xml:space="preserve">    </w:t>
      </w:r>
      <w:r>
        <w:rPr>
          <w:rFonts w:hint="default" w:ascii="Times New Roman" w:hAnsi="Times New Roman" w:eastAsia="楷体_GB2312" w:cs="Times New Roman"/>
          <w:bCs/>
          <w:sz w:val="30"/>
          <w:szCs w:val="30"/>
          <w:u w:val="single"/>
          <w:lang w:val="en-US" w:eastAsia="zh-CN"/>
        </w:rPr>
        <w:t xml:space="preserve">    </w:t>
      </w:r>
    </w:p>
    <w:p>
      <w:pPr>
        <w:adjustRightInd w:val="0"/>
        <w:snapToGrid w:val="0"/>
        <w:spacing w:line="288" w:lineRule="auto"/>
        <w:ind w:firstLine="567"/>
        <w:rPr>
          <w:rFonts w:hint="default" w:ascii="Times New Roman" w:hAnsi="Times New Roman" w:eastAsia="楷体_GB2312" w:cs="Times New Roman"/>
          <w:bCs/>
          <w:sz w:val="30"/>
          <w:szCs w:val="30"/>
        </w:rPr>
      </w:pPr>
      <w:r>
        <w:rPr>
          <w:rFonts w:hint="default" w:ascii="Times New Roman" w:hAnsi="Times New Roman" w:eastAsia="楷体_GB2312" w:cs="Times New Roman"/>
          <w:bCs/>
          <w:sz w:val="30"/>
          <w:szCs w:val="30"/>
        </w:rPr>
        <w:t>建设单位（盖章）：</w:t>
      </w:r>
      <w:r>
        <w:rPr>
          <w:rFonts w:hint="default" w:ascii="Times New Roman" w:hAnsi="Times New Roman" w:eastAsia="楷体_GB2312" w:cs="Times New Roman"/>
          <w:bCs/>
          <w:sz w:val="30"/>
          <w:szCs w:val="30"/>
          <w:u w:val="single"/>
        </w:rPr>
        <w:t xml:space="preserve"> </w:t>
      </w:r>
      <w:r>
        <w:rPr>
          <w:rFonts w:hint="default" w:ascii="Times New Roman" w:hAnsi="Times New Roman" w:eastAsia="楷体_GB2312" w:cs="Times New Roman"/>
          <w:bCs/>
          <w:sz w:val="30"/>
          <w:szCs w:val="30"/>
          <w:u w:val="single"/>
          <w:lang w:val="en-US" w:eastAsia="zh-CN"/>
        </w:rPr>
        <w:t xml:space="preserve">    </w:t>
      </w:r>
      <w:r>
        <w:rPr>
          <w:rFonts w:hint="default" w:ascii="Times New Roman" w:hAnsi="Times New Roman" w:eastAsia="楷体_GB2312" w:cs="Times New Roman"/>
          <w:bCs/>
          <w:color w:val="auto"/>
          <w:sz w:val="30"/>
          <w:szCs w:val="30"/>
          <w:u w:val="single"/>
          <w:lang w:val="en-US" w:eastAsia="zh-CN"/>
        </w:rPr>
        <w:t>重庆博通工具制造有限公司</w:t>
      </w:r>
      <w:r>
        <w:rPr>
          <w:rFonts w:hint="default" w:ascii="Times New Roman" w:hAnsi="Times New Roman" w:eastAsia="楷体_GB2312" w:cs="Times New Roman"/>
          <w:bCs/>
          <w:color w:val="auto"/>
          <w:sz w:val="30"/>
          <w:szCs w:val="30"/>
          <w:u w:val="single"/>
        </w:rPr>
        <w:t xml:space="preserve"> </w:t>
      </w:r>
      <w:r>
        <w:rPr>
          <w:rFonts w:hint="default" w:ascii="Times New Roman" w:hAnsi="Times New Roman" w:eastAsia="楷体_GB2312" w:cs="Times New Roman"/>
          <w:bCs/>
          <w:sz w:val="30"/>
          <w:szCs w:val="30"/>
          <w:u w:val="single"/>
        </w:rPr>
        <w:t xml:space="preserve">        </w:t>
      </w:r>
    </w:p>
    <w:p>
      <w:pPr>
        <w:adjustRightInd w:val="0"/>
        <w:snapToGrid w:val="0"/>
        <w:spacing w:line="288" w:lineRule="auto"/>
        <w:ind w:firstLine="567"/>
        <w:rPr>
          <w:rFonts w:hint="default" w:ascii="Times New Roman" w:hAnsi="Times New Roman" w:eastAsia="仿宋" w:cs="Times New Roman"/>
          <w:b/>
          <w:sz w:val="30"/>
          <w:szCs w:val="30"/>
          <w:u w:val="single"/>
        </w:rPr>
      </w:pPr>
      <w:r>
        <w:rPr>
          <w:rFonts w:hint="default" w:ascii="Times New Roman" w:hAnsi="Times New Roman" w:eastAsia="楷体_GB2312" w:cs="Times New Roman"/>
          <w:bCs/>
          <w:sz w:val="30"/>
          <w:szCs w:val="30"/>
        </w:rPr>
        <w:t>编制日期：</w:t>
      </w:r>
      <w:r>
        <w:rPr>
          <w:rFonts w:hint="default" w:ascii="Times New Roman" w:hAnsi="Times New Roman" w:eastAsia="楷体_GB2312" w:cs="Times New Roman"/>
          <w:bCs/>
          <w:sz w:val="30"/>
          <w:szCs w:val="30"/>
          <w:u w:val="single"/>
        </w:rPr>
        <w:t xml:space="preserve">               2021年 </w:t>
      </w:r>
      <w:r>
        <w:rPr>
          <w:rFonts w:hint="default" w:ascii="Times New Roman" w:hAnsi="Times New Roman" w:eastAsia="楷体_GB2312" w:cs="Times New Roman"/>
          <w:bCs/>
          <w:sz w:val="30"/>
          <w:szCs w:val="30"/>
          <w:u w:val="single"/>
          <w:lang w:val="en-US" w:eastAsia="zh-CN"/>
        </w:rPr>
        <w:t>11</w:t>
      </w:r>
      <w:r>
        <w:rPr>
          <w:rFonts w:hint="default" w:ascii="Times New Roman" w:hAnsi="Times New Roman" w:eastAsia="楷体_GB2312" w:cs="Times New Roman"/>
          <w:bCs/>
          <w:sz w:val="30"/>
          <w:szCs w:val="30"/>
          <w:u w:val="single"/>
        </w:rPr>
        <w:t xml:space="preserve">月                   </w:t>
      </w:r>
    </w:p>
    <w:p>
      <w:pPr>
        <w:adjustRightInd w:val="0"/>
        <w:snapToGrid w:val="0"/>
        <w:spacing w:line="288" w:lineRule="auto"/>
        <w:ind w:firstLine="1040"/>
        <w:rPr>
          <w:rFonts w:hint="default" w:ascii="Times New Roman" w:hAnsi="Times New Roman" w:eastAsia="仿宋_GB2312" w:cs="Times New Roman"/>
          <w:sz w:val="36"/>
          <w:szCs w:val="36"/>
          <w:u w:val="single"/>
        </w:rPr>
      </w:pPr>
      <w:bookmarkStart w:id="0" w:name="_Hlk57884087"/>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ind w:firstLine="1040"/>
        <w:rPr>
          <w:rFonts w:hint="default" w:ascii="Times New Roman" w:hAnsi="Times New Roman" w:eastAsia="仿宋_GB2312" w:cs="Times New Roman"/>
          <w:sz w:val="36"/>
          <w:szCs w:val="36"/>
        </w:rPr>
      </w:pPr>
    </w:p>
    <w:p>
      <w:pPr>
        <w:adjustRightInd w:val="0"/>
        <w:snapToGrid w:val="0"/>
        <w:spacing w:line="288" w:lineRule="auto"/>
        <w:ind w:firstLine="1040"/>
        <w:rPr>
          <w:rFonts w:hint="default" w:ascii="Times New Roman" w:hAnsi="Times New Roman" w:eastAsia="仿宋_GB2312" w:cs="Times New Roman"/>
          <w:sz w:val="36"/>
          <w:szCs w:val="36"/>
        </w:rPr>
      </w:pPr>
    </w:p>
    <w:bookmarkEnd w:id="0"/>
    <w:p>
      <w:pPr>
        <w:adjustRightInd w:val="0"/>
        <w:snapToGrid w:val="0"/>
        <w:spacing w:line="288" w:lineRule="auto"/>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中华人民共和国生态环境部制</w:t>
      </w:r>
    </w:p>
    <w:p>
      <w:pPr>
        <w:adjustRightInd w:val="0"/>
        <w:snapToGrid w:val="0"/>
        <w:spacing w:line="288" w:lineRule="auto"/>
        <w:ind w:firstLine="1040"/>
        <w:rPr>
          <w:rFonts w:hint="default" w:ascii="Times New Roman" w:hAnsi="Times New Roman" w:eastAsia="仿宋_GB2312" w:cs="Times New Roman"/>
          <w:sz w:val="36"/>
          <w:szCs w:val="36"/>
        </w:rPr>
        <w:sectPr>
          <w:footerReference r:id="rId3" w:type="default"/>
          <w:footerReference r:id="rId4" w:type="even"/>
          <w:pgSz w:w="11906" w:h="16838"/>
          <w:pgMar w:top="1418" w:right="1304" w:bottom="1418" w:left="1304" w:header="851" w:footer="1134" w:gutter="0"/>
          <w:pgBorders>
            <w:top w:val="none" w:sz="0" w:space="0"/>
            <w:left w:val="none" w:sz="0" w:space="0"/>
            <w:bottom w:val="none" w:sz="0" w:space="0"/>
            <w:right w:val="none" w:sz="0" w:space="0"/>
          </w:pgBorders>
          <w:pgNumType w:start="3"/>
          <w:cols w:space="720" w:num="1"/>
          <w:docGrid w:linePitch="312" w:charSpace="0"/>
        </w:sect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一、建设项目基本情况</w:t>
      </w:r>
    </w:p>
    <w:tbl>
      <w:tblPr>
        <w:tblStyle w:val="19"/>
        <w:tblW w:w="90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08"/>
        <w:gridCol w:w="2409"/>
        <w:gridCol w:w="2115"/>
        <w:gridCol w:w="2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建设项目名称</w:t>
            </w:r>
          </w:p>
        </w:tc>
        <w:tc>
          <w:tcPr>
            <w:tcW w:w="7071" w:type="dxa"/>
            <w:gridSpan w:val="3"/>
            <w:noWrap w:val="0"/>
            <w:vAlign w:val="center"/>
          </w:tcPr>
          <w:p>
            <w:pPr>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包装配套材料生产</w:t>
            </w:r>
            <w:r>
              <w:rPr>
                <w:rFonts w:hint="default" w:ascii="Times New Roman" w:hAnsi="Times New Roman" w:cs="Times New Roman"/>
                <w:color w:val="auto"/>
                <w:szCs w:val="21"/>
                <w:lang w:val="en-US"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项目代码</w:t>
            </w:r>
          </w:p>
        </w:tc>
        <w:tc>
          <w:tcPr>
            <w:tcW w:w="7071" w:type="dxa"/>
            <w:gridSpan w:val="3"/>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2110</w:t>
            </w:r>
            <w:r>
              <w:rPr>
                <w:rFonts w:hint="default" w:ascii="Times New Roman" w:hAnsi="Times New Roman" w:cs="Times New Roman"/>
                <w:color w:val="auto"/>
                <w:szCs w:val="21"/>
                <w:lang w:val="en-US" w:eastAsia="zh-CN"/>
              </w:rPr>
              <w:t>-500111-04-0</w:t>
            </w: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lang w:val="en-US" w:eastAsia="zh-CN"/>
              </w:rPr>
              <w:t>-</w:t>
            </w:r>
            <w:r>
              <w:rPr>
                <w:rFonts w:hint="eastAsia" w:ascii="Times New Roman" w:hAnsi="Times New Roman" w:cs="Times New Roman"/>
                <w:color w:val="auto"/>
                <w:szCs w:val="21"/>
                <w:lang w:val="en-US" w:eastAsia="zh-CN"/>
              </w:rPr>
              <w:t>592058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建设单位联系人</w:t>
            </w:r>
          </w:p>
        </w:tc>
        <w:tc>
          <w:tcPr>
            <w:tcW w:w="2409"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龙洋</w:t>
            </w:r>
          </w:p>
        </w:tc>
        <w:tc>
          <w:tcPr>
            <w:tcW w:w="2115"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联系方式</w:t>
            </w:r>
          </w:p>
        </w:tc>
        <w:tc>
          <w:tcPr>
            <w:tcW w:w="2547"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17764837847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建设地点</w:t>
            </w:r>
          </w:p>
        </w:tc>
        <w:tc>
          <w:tcPr>
            <w:tcW w:w="7071" w:type="dxa"/>
            <w:gridSpan w:val="3"/>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0000FF"/>
                <w:szCs w:val="21"/>
              </w:rPr>
              <w:t xml:space="preserve"> </w:t>
            </w:r>
            <w:r>
              <w:rPr>
                <w:rFonts w:hint="default" w:ascii="Times New Roman" w:hAnsi="Times New Roman" w:cs="Times New Roman"/>
                <w:color w:val="0000FF"/>
                <w:szCs w:val="21"/>
                <w:lang w:val="en-US" w:eastAsia="zh-CN"/>
              </w:rPr>
              <w:t>重庆</w:t>
            </w:r>
            <w:r>
              <w:rPr>
                <w:rFonts w:hint="default" w:ascii="Times New Roman" w:hAnsi="Times New Roman" w:cs="Times New Roman"/>
                <w:color w:val="0000FF"/>
                <w:szCs w:val="21"/>
              </w:rPr>
              <w:t>市</w:t>
            </w:r>
            <w:r>
              <w:rPr>
                <w:rFonts w:hint="default" w:ascii="Times New Roman" w:hAnsi="Times New Roman" w:cs="Times New Roman"/>
                <w:color w:val="0000FF"/>
                <w:szCs w:val="21"/>
                <w:lang w:val="en-US" w:eastAsia="zh-CN"/>
              </w:rPr>
              <w:t>大足</w:t>
            </w:r>
            <w:r>
              <w:rPr>
                <w:rFonts w:hint="default" w:ascii="Times New Roman" w:hAnsi="Times New Roman" w:cs="Times New Roman"/>
                <w:color w:val="0000FF"/>
                <w:szCs w:val="21"/>
              </w:rPr>
              <w:t>区</w:t>
            </w:r>
            <w:r>
              <w:rPr>
                <w:rFonts w:hint="default" w:ascii="Times New Roman" w:hAnsi="Times New Roman" w:cs="Times New Roman"/>
                <w:color w:val="0000FF"/>
                <w:szCs w:val="21"/>
                <w:lang w:val="en-US" w:eastAsia="zh-CN"/>
              </w:rPr>
              <w:t>双桥</w:t>
            </w:r>
            <w:r>
              <w:rPr>
                <w:rFonts w:hint="default" w:ascii="Times New Roman" w:hAnsi="Times New Roman" w:cs="Times New Roman"/>
                <w:color w:val="0000FF"/>
                <w:szCs w:val="21"/>
              </w:rPr>
              <w:t>工业园区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地理坐标</w:t>
            </w:r>
          </w:p>
        </w:tc>
        <w:tc>
          <w:tcPr>
            <w:tcW w:w="7071" w:type="dxa"/>
            <w:gridSpan w:val="3"/>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u w:val="single"/>
                <w:lang w:val="en-US" w:eastAsia="zh-CN"/>
              </w:rPr>
              <w:t>105</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u w:val="single"/>
                <w:lang w:val="en-US" w:eastAsia="zh-CN"/>
              </w:rPr>
              <w:t xml:space="preserve">46 </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分</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u w:val="single"/>
                <w:lang w:val="en-US" w:eastAsia="zh-CN"/>
              </w:rPr>
              <w:t>2.555</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秒，</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u w:val="single"/>
                <w:lang w:val="en-US" w:eastAsia="zh-CN"/>
              </w:rPr>
              <w:t>29</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u w:val="single"/>
                <w:lang w:val="en-US" w:eastAsia="zh-CN"/>
              </w:rPr>
              <w:t>30</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分</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u w:val="single"/>
                <w:lang w:val="en-US" w:eastAsia="zh-CN"/>
              </w:rPr>
              <w:t>54.586</w:t>
            </w:r>
            <w:r>
              <w:rPr>
                <w:rFonts w:hint="default" w:ascii="Times New Roman" w:hAnsi="Times New Roman" w:cs="Times New Roman"/>
                <w:color w:val="auto"/>
                <w:szCs w:val="21"/>
                <w:u w:val="single"/>
              </w:rPr>
              <w:t xml:space="preserve"> </w:t>
            </w:r>
            <w:r>
              <w:rPr>
                <w:rFonts w:hint="default" w:ascii="Times New Roman" w:hAnsi="Times New Roman" w:cs="Times New Roman"/>
                <w:color w:val="auto"/>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国民经济</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p>
        </w:tc>
        <w:tc>
          <w:tcPr>
            <w:tcW w:w="2409"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2923 塑料丝、绳及编织品制造</w:t>
            </w:r>
          </w:p>
        </w:tc>
        <w:tc>
          <w:tcPr>
            <w:tcW w:w="2115" w:type="dxa"/>
            <w:noWrap w:val="0"/>
            <w:vAlign w:val="center"/>
          </w:tcPr>
          <w:p>
            <w:pPr>
              <w:adjustRightInd w:val="0"/>
              <w:snapToGrid w:val="0"/>
              <w:jc w:val="center"/>
              <w:rPr>
                <w:rFonts w:hint="default" w:ascii="Times New Roman" w:hAnsi="Times New Roman" w:cs="Times New Roman"/>
                <w:color w:val="auto"/>
                <w:szCs w:val="21"/>
              </w:rPr>
            </w:pPr>
            <w:bookmarkStart w:id="1" w:name="_Hlk49843745"/>
            <w:r>
              <w:rPr>
                <w:rFonts w:hint="default" w:ascii="Times New Roman" w:hAnsi="Times New Roman" w:cs="Times New Roman"/>
                <w:color w:val="auto"/>
                <w:szCs w:val="21"/>
              </w:rPr>
              <w:t>建设项目</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bookmarkEnd w:id="1"/>
          </w:p>
        </w:tc>
        <w:tc>
          <w:tcPr>
            <w:tcW w:w="2547"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 xml:space="preserve">二十六、橡胶和塑料制品业 </w:t>
            </w:r>
            <w:r>
              <w:rPr>
                <w:rFonts w:hint="eastAsia" w:ascii="Times New Roman" w:hAnsi="Times New Roman" w:cs="Times New Roman"/>
                <w:color w:val="auto"/>
                <w:szCs w:val="21"/>
                <w:lang w:val="en-US" w:eastAsia="zh-CN"/>
              </w:rPr>
              <w:t xml:space="preserve">  </w:t>
            </w:r>
            <w:r>
              <w:rPr>
                <w:rFonts w:hint="default" w:ascii="Times New Roman" w:hAnsi="Times New Roman" w:cs="Times New Roman"/>
                <w:color w:val="auto"/>
                <w:szCs w:val="21"/>
                <w:lang w:val="en-US" w:eastAsia="zh-CN"/>
              </w:rPr>
              <w:t xml:space="preserve">塑料制品业292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建设性质</w:t>
            </w:r>
          </w:p>
        </w:tc>
        <w:tc>
          <w:tcPr>
            <w:tcW w:w="2409" w:type="dxa"/>
            <w:noWrap w:val="0"/>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新建（迁建）</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□改建</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□扩建</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t>□技术改造</w:t>
            </w:r>
          </w:p>
        </w:tc>
        <w:tc>
          <w:tcPr>
            <w:tcW w:w="2115"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建设项目</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申报情形</w:t>
            </w:r>
          </w:p>
        </w:tc>
        <w:tc>
          <w:tcPr>
            <w:tcW w:w="2547" w:type="dxa"/>
            <w:noWrap w:val="0"/>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 xml:space="preserve">首次申报项目             </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不予批准后再次申报项目</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 xml:space="preserve">超五年重新审核项目     </w:t>
            </w:r>
          </w:p>
          <w:p>
            <w:pPr>
              <w:jc w:val="left"/>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备案）部门（选填）</w:t>
            </w:r>
          </w:p>
        </w:tc>
        <w:tc>
          <w:tcPr>
            <w:tcW w:w="2409"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lang w:val="en-US" w:eastAsia="zh-CN"/>
              </w:rPr>
              <w:t>重庆市</w:t>
            </w:r>
            <w:r>
              <w:rPr>
                <w:rFonts w:hint="eastAsia" w:cs="Times New Roman"/>
                <w:color w:val="auto"/>
                <w:lang w:val="en-US" w:eastAsia="zh-CN"/>
              </w:rPr>
              <w:t>双桥经济技术开发区经济发展局</w:t>
            </w:r>
          </w:p>
        </w:tc>
        <w:tc>
          <w:tcPr>
            <w:tcW w:w="2115"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备案）文号（选填）</w:t>
            </w:r>
          </w:p>
        </w:tc>
        <w:tc>
          <w:tcPr>
            <w:tcW w:w="2547" w:type="dxa"/>
            <w:noWrap w:val="0"/>
            <w:vAlign w:val="center"/>
          </w:tcPr>
          <w:p>
            <w:pPr>
              <w:adjustRightInd w:val="0"/>
              <w:snapToGrid w:val="0"/>
              <w:jc w:val="center"/>
              <w:rPr>
                <w:rFonts w:hint="default"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2110</w:t>
            </w:r>
            <w:r>
              <w:rPr>
                <w:rFonts w:hint="default" w:ascii="Times New Roman" w:hAnsi="Times New Roman" w:cs="Times New Roman"/>
                <w:color w:val="auto"/>
                <w:szCs w:val="21"/>
                <w:lang w:val="en-US" w:eastAsia="zh-CN"/>
              </w:rPr>
              <w:t>-500111-04-0</w:t>
            </w: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lang w:val="en-US" w:eastAsia="zh-CN"/>
              </w:rPr>
              <w:t>-</w:t>
            </w:r>
            <w:r>
              <w:rPr>
                <w:rFonts w:hint="eastAsia" w:ascii="Times New Roman" w:hAnsi="Times New Roman" w:cs="Times New Roman"/>
                <w:color w:val="auto"/>
                <w:szCs w:val="21"/>
                <w:lang w:val="en-US" w:eastAsia="zh-CN"/>
              </w:rPr>
              <w:t>592058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总投资（万元）</w:t>
            </w:r>
          </w:p>
        </w:tc>
        <w:tc>
          <w:tcPr>
            <w:tcW w:w="2409"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200</w:t>
            </w:r>
          </w:p>
        </w:tc>
        <w:tc>
          <w:tcPr>
            <w:tcW w:w="2115"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环保投资（万元）</w:t>
            </w:r>
          </w:p>
        </w:tc>
        <w:tc>
          <w:tcPr>
            <w:tcW w:w="2547"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环保投资占比（%）</w:t>
            </w:r>
          </w:p>
        </w:tc>
        <w:tc>
          <w:tcPr>
            <w:tcW w:w="2409"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7.5</w:t>
            </w:r>
            <w:r>
              <w:rPr>
                <w:rFonts w:hint="default" w:ascii="Times New Roman" w:hAnsi="Times New Roman" w:cs="Times New Roman"/>
                <w:color w:val="auto"/>
                <w:szCs w:val="21"/>
                <w:lang w:val="en-US" w:eastAsia="zh-CN"/>
              </w:rPr>
              <w:t>%</w:t>
            </w:r>
          </w:p>
        </w:tc>
        <w:tc>
          <w:tcPr>
            <w:tcW w:w="2115"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施工工期</w:t>
            </w:r>
          </w:p>
        </w:tc>
        <w:tc>
          <w:tcPr>
            <w:tcW w:w="2547"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3</w:t>
            </w:r>
            <w:r>
              <w:rPr>
                <w:rFonts w:hint="eastAsia" w:ascii="Times New Roman" w:hAnsi="Times New Roman" w:cs="Times New Roman"/>
                <w:color w:val="auto"/>
                <w:szCs w:val="21"/>
                <w:lang w:val="en-US" w:eastAsia="zh-CN"/>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08"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是否开工建设</w:t>
            </w:r>
          </w:p>
        </w:tc>
        <w:tc>
          <w:tcPr>
            <w:tcW w:w="2409" w:type="dxa"/>
            <w:noWrap w:val="0"/>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否</w:t>
            </w:r>
          </w:p>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是：</w:t>
            </w:r>
            <w:r>
              <w:rPr>
                <w:rFonts w:hint="default" w:ascii="Times New Roman" w:hAnsi="Times New Roman" w:cs="Times New Roman"/>
                <w:color w:val="auto"/>
                <w:szCs w:val="21"/>
                <w:u w:val="single"/>
              </w:rPr>
              <w:t xml:space="preserve">             </w:t>
            </w:r>
          </w:p>
        </w:tc>
        <w:tc>
          <w:tcPr>
            <w:tcW w:w="2115"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用地（用海）</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pacing w:val="-6"/>
                <w:szCs w:val="21"/>
              </w:rPr>
              <w:t>面积（m</w:t>
            </w:r>
            <w:r>
              <w:rPr>
                <w:rFonts w:hint="default" w:ascii="Times New Roman" w:hAnsi="Times New Roman" w:cs="Times New Roman"/>
                <w:color w:val="auto"/>
                <w:spacing w:val="-6"/>
                <w:szCs w:val="21"/>
                <w:vertAlign w:val="superscript"/>
              </w:rPr>
              <w:t>2</w:t>
            </w:r>
            <w:r>
              <w:rPr>
                <w:rFonts w:hint="default" w:ascii="Times New Roman" w:hAnsi="Times New Roman" w:cs="Times New Roman"/>
                <w:color w:val="auto"/>
                <w:spacing w:val="-6"/>
                <w:szCs w:val="21"/>
              </w:rPr>
              <w:t>）</w:t>
            </w:r>
          </w:p>
        </w:tc>
        <w:tc>
          <w:tcPr>
            <w:tcW w:w="2547"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2000</w:t>
            </w:r>
            <w:r>
              <w:rPr>
                <w:rFonts w:hint="default" w:ascii="Times New Roman" w:hAnsi="Times New Roman" w:cs="Times New Roman"/>
                <w:color w:val="auto"/>
                <w:szCs w:val="21"/>
                <w:lang w:val="en-US" w:eastAsia="zh-CN"/>
              </w:rPr>
              <w:t>m</w:t>
            </w:r>
            <w:r>
              <w:rPr>
                <w:rFonts w:hint="default" w:ascii="Times New Roman" w:hAnsi="Times New Roman" w:cs="Times New Roman"/>
                <w:color w:val="auto"/>
                <w:szCs w:val="21"/>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08" w:type="dxa"/>
            <w:noWrap w:val="0"/>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专项评价设置情况</w:t>
            </w:r>
          </w:p>
        </w:tc>
        <w:tc>
          <w:tcPr>
            <w:tcW w:w="7071" w:type="dxa"/>
            <w:gridSpan w:val="3"/>
            <w:noWrap w:val="0"/>
            <w:vAlign w:val="center"/>
          </w:tcPr>
          <w:p>
            <w:pPr>
              <w:autoSpaceDE w:val="0"/>
              <w:autoSpaceDN w:val="0"/>
              <w:adjustRightInd w:val="0"/>
              <w:snapToGrid w:val="0"/>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08" w:type="dxa"/>
            <w:noWrap w:val="0"/>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规划情况</w:t>
            </w:r>
          </w:p>
        </w:tc>
        <w:tc>
          <w:tcPr>
            <w:tcW w:w="707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ind w:firstLine="420" w:firstLineChars="200"/>
              <w:jc w:val="both"/>
              <w:textAlignment w:val="auto"/>
              <w:rPr>
                <w:rFonts w:hint="default" w:ascii="Times New Roman" w:hAnsi="Times New Roman" w:cs="Times New Roman"/>
                <w:color w:val="auto"/>
              </w:rPr>
            </w:pPr>
            <w:r>
              <w:rPr>
                <w:rFonts w:hint="eastAsia" w:cs="Times New Roman"/>
                <w:color w:val="0000FF"/>
                <w:kern w:val="2"/>
                <w:sz w:val="21"/>
                <w:szCs w:val="24"/>
                <w:lang w:val="en-US" w:eastAsia="zh-CN" w:bidi="ar-SA"/>
              </w:rPr>
              <w:t>《</w:t>
            </w:r>
            <w:r>
              <w:rPr>
                <w:rFonts w:hint="eastAsia" w:ascii="Times New Roman" w:hAnsi="Times New Roman" w:eastAsia="宋体" w:cs="Times New Roman"/>
                <w:color w:val="0000FF"/>
                <w:kern w:val="2"/>
                <w:sz w:val="21"/>
                <w:szCs w:val="24"/>
                <w:lang w:val="en-US" w:eastAsia="zh-CN" w:bidi="ar-SA"/>
              </w:rPr>
              <w:t>双桥</w:t>
            </w:r>
            <w:r>
              <w:rPr>
                <w:rFonts w:hint="eastAsia" w:ascii="Times New Roman" w:hAnsi="Times New Roman" w:cs="Times New Roman"/>
                <w:color w:val="0000FF"/>
                <w:lang w:val="en-US" w:eastAsia="zh-CN"/>
              </w:rPr>
              <w:t>工业园区</w:t>
            </w:r>
            <w:r>
              <w:rPr>
                <w:rFonts w:hint="eastAsia" w:ascii="Times New Roman" w:hAnsi="Times New Roman" w:cs="Times New Roman"/>
                <w:color w:val="0000FF"/>
                <w:szCs w:val="21"/>
                <w:lang w:val="en-US" w:eastAsia="zh-CN"/>
              </w:rPr>
              <w:t>控制性</w:t>
            </w:r>
            <w:r>
              <w:rPr>
                <w:rFonts w:hint="eastAsia" w:ascii="Times New Roman" w:hAnsi="Times New Roman" w:eastAsia="宋体" w:cs="Times New Roman"/>
                <w:color w:val="0000FF"/>
                <w:kern w:val="2"/>
                <w:sz w:val="21"/>
                <w:szCs w:val="24"/>
                <w:lang w:val="en-US" w:eastAsia="zh-CN" w:bidi="ar-SA"/>
              </w:rPr>
              <w:t>详细规划（整合）</w:t>
            </w:r>
            <w:r>
              <w:rPr>
                <w:rFonts w:hint="eastAsia" w:cs="Times New Roman"/>
                <w:color w:val="0000FF"/>
                <w:kern w:val="2"/>
                <w:sz w:val="21"/>
                <w:szCs w:val="24"/>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0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规划环境影响</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评价情况</w:t>
            </w:r>
          </w:p>
        </w:tc>
        <w:tc>
          <w:tcPr>
            <w:tcW w:w="7071" w:type="dxa"/>
            <w:gridSpan w:val="3"/>
            <w:noWrap w:val="0"/>
            <w:vAlign w:val="center"/>
          </w:tcPr>
          <w:p>
            <w:pPr>
              <w:pStyle w:val="43"/>
              <w:bidi w:val="0"/>
              <w:jc w:val="both"/>
              <w:rPr>
                <w:rFonts w:hint="default" w:ascii="Times New Roman" w:hAnsi="Times New Roman" w:cs="Times New Roman"/>
                <w:color w:val="auto"/>
                <w:lang w:eastAsia="zh-CN"/>
              </w:rPr>
            </w:pPr>
            <w:r>
              <w:rPr>
                <w:rFonts w:hint="default" w:ascii="Times New Roman" w:hAnsi="Times New Roman" w:cs="Times New Roman"/>
                <w:color w:val="auto"/>
                <w:lang w:eastAsia="zh-CN"/>
              </w:rPr>
              <w:t>规划环境影响评价名称：《</w:t>
            </w:r>
            <w:bookmarkStart w:id="2" w:name="_Hlk498955744"/>
            <w:r>
              <w:rPr>
                <w:rFonts w:hint="default" w:ascii="Times New Roman" w:hAnsi="Times New Roman" w:cs="Times New Roman"/>
                <w:color w:val="auto"/>
                <w:lang w:eastAsia="zh-CN"/>
              </w:rPr>
              <w:t>双桥工业园区控制性详细规划（整合）</w:t>
            </w:r>
            <w:bookmarkEnd w:id="2"/>
            <w:r>
              <w:rPr>
                <w:rFonts w:hint="default" w:ascii="Times New Roman" w:hAnsi="Times New Roman" w:cs="Times New Roman"/>
                <w:color w:val="auto"/>
                <w:lang w:eastAsia="zh-CN"/>
              </w:rPr>
              <w:t>环境影响报告</w:t>
            </w:r>
            <w:r>
              <w:rPr>
                <w:rFonts w:hint="default" w:ascii="Times New Roman" w:hAnsi="Times New Roman" w:cs="Times New Roman"/>
                <w:color w:val="auto"/>
                <w:lang w:val="en-US" w:eastAsia="zh-CN"/>
              </w:rPr>
              <w:t>书</w:t>
            </w:r>
            <w:r>
              <w:rPr>
                <w:rFonts w:hint="default" w:ascii="Times New Roman" w:hAnsi="Times New Roman" w:cs="Times New Roman"/>
                <w:color w:val="auto"/>
                <w:lang w:eastAsia="zh-CN"/>
              </w:rPr>
              <w:t>》</w:t>
            </w:r>
          </w:p>
          <w:p>
            <w:pPr>
              <w:pStyle w:val="43"/>
              <w:bidi w:val="0"/>
              <w:jc w:val="both"/>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审批机关：</w:t>
            </w:r>
            <w:r>
              <w:rPr>
                <w:rFonts w:hint="default" w:ascii="Times New Roman" w:hAnsi="Times New Roman" w:cs="Times New Roman"/>
                <w:color w:val="auto"/>
                <w:lang w:val="en-US" w:eastAsia="zh-CN"/>
              </w:rPr>
              <w:t>重庆市环境保护局</w:t>
            </w:r>
          </w:p>
          <w:p>
            <w:pPr>
              <w:pStyle w:val="43"/>
              <w:bidi w:val="0"/>
              <w:jc w:val="both"/>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审批文件及文号：</w:t>
            </w:r>
            <w:r>
              <w:rPr>
                <w:rFonts w:hint="default" w:ascii="Times New Roman" w:hAnsi="Times New Roman" w:eastAsia="宋体" w:cs="Times New Roman"/>
                <w:color w:val="auto"/>
                <w:lang w:eastAsia="zh-CN"/>
              </w:rPr>
              <w:t>《</w:t>
            </w:r>
            <w:r>
              <w:rPr>
                <w:rFonts w:hint="default" w:ascii="Times New Roman" w:hAnsi="Times New Roman" w:cs="Times New Roman"/>
                <w:color w:val="auto"/>
                <w:lang w:val="en-US" w:eastAsia="zh-CN"/>
              </w:rPr>
              <w:t>重庆市环境保护局关于</w:t>
            </w:r>
            <w:r>
              <w:rPr>
                <w:rFonts w:hint="default" w:ascii="Times New Roman" w:hAnsi="Times New Roman" w:cs="Times New Roman"/>
                <w:color w:val="auto"/>
                <w:lang w:eastAsia="zh-CN"/>
              </w:rPr>
              <w:t>双桥工业园区控制性详细规划（整合）环境影响报告</w:t>
            </w:r>
            <w:r>
              <w:rPr>
                <w:rFonts w:hint="default" w:ascii="Times New Roman" w:hAnsi="Times New Roman" w:cs="Times New Roman"/>
                <w:color w:val="auto"/>
                <w:lang w:val="en-US" w:eastAsia="zh-CN"/>
              </w:rPr>
              <w:t>书审查意见的函</w:t>
            </w:r>
            <w:r>
              <w:rPr>
                <w:rFonts w:hint="default" w:ascii="Times New Roman" w:hAnsi="Times New Roman" w:eastAsia="宋体" w:cs="Times New Roman"/>
                <w:color w:val="auto"/>
                <w:lang w:eastAsia="zh-CN"/>
              </w:rPr>
              <w:t>》</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渝环函</w:t>
            </w:r>
            <w:r>
              <w:rPr>
                <w:rFonts w:hint="eastAsia" w:cs="Times New Roman"/>
                <w:color w:val="auto"/>
                <w:lang w:val="en-US" w:eastAsia="zh-CN"/>
              </w:rPr>
              <w:t>〔</w:t>
            </w:r>
            <w:r>
              <w:rPr>
                <w:rFonts w:hint="default" w:ascii="Times New Roman" w:hAnsi="Times New Roman" w:cs="Times New Roman"/>
                <w:color w:val="auto"/>
                <w:lang w:eastAsia="zh-CN"/>
              </w:rPr>
              <w:t>20</w:t>
            </w:r>
            <w:r>
              <w:rPr>
                <w:rFonts w:hint="default" w:ascii="Times New Roman" w:hAnsi="Times New Roman" w:cs="Times New Roman"/>
                <w:color w:val="auto"/>
                <w:lang w:val="en-US" w:eastAsia="zh-CN"/>
              </w:rPr>
              <w:t>17</w:t>
            </w:r>
            <w:r>
              <w:rPr>
                <w:rFonts w:hint="eastAsia" w:cs="Times New Roman"/>
                <w:color w:val="auto"/>
                <w:lang w:val="en-US" w:eastAsia="zh-CN"/>
              </w:rPr>
              <w:t>〕</w:t>
            </w:r>
            <w:r>
              <w:rPr>
                <w:rFonts w:hint="default" w:ascii="Times New Roman" w:hAnsi="Times New Roman" w:cs="Times New Roman"/>
                <w:color w:val="auto"/>
                <w:lang w:val="en-US" w:eastAsia="zh-CN"/>
              </w:rPr>
              <w:t>1126</w:t>
            </w:r>
            <w:r>
              <w:rPr>
                <w:rFonts w:hint="default" w:ascii="Times New Roman" w:hAnsi="Times New Roman" w:cs="Times New Roman"/>
                <w:color w:val="auto"/>
                <w:lang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008" w:type="dxa"/>
            <w:noWrap w:val="0"/>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规划及规划环境</w:t>
            </w:r>
          </w:p>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影响评价符合性分析</w:t>
            </w:r>
          </w:p>
        </w:tc>
        <w:tc>
          <w:tcPr>
            <w:tcW w:w="7071" w:type="dxa"/>
            <w:gridSpan w:val="3"/>
            <w:noWrap w:val="0"/>
            <w:vAlign w:val="center"/>
          </w:tcPr>
          <w:p>
            <w:pPr>
              <w:pStyle w:val="46"/>
              <w:bidi w:val="0"/>
              <w:rPr>
                <w:rFonts w:hint="default" w:ascii="Times New Roman" w:hAnsi="Times New Roman" w:cs="Times New Roman"/>
                <w:lang w:val="en-US" w:eastAsia="zh-CN"/>
              </w:rPr>
            </w:pPr>
            <w:r>
              <w:rPr>
                <w:rFonts w:hint="default" w:ascii="Times New Roman" w:hAnsi="Times New Roman" w:cs="Times New Roman"/>
                <w:lang w:val="en-US" w:eastAsia="zh-CN"/>
              </w:rPr>
              <w:t>1.与</w:t>
            </w:r>
            <w:r>
              <w:rPr>
                <w:rFonts w:hint="default" w:ascii="Times New Roman" w:hAnsi="Times New Roman" w:cs="Times New Roman"/>
                <w:lang w:eastAsia="zh-CN"/>
              </w:rPr>
              <w:t>《双桥工业园区控制性详细规划（整合）环境影响报告</w:t>
            </w:r>
            <w:r>
              <w:rPr>
                <w:rFonts w:hint="default" w:ascii="Times New Roman" w:hAnsi="Times New Roman" w:cs="Times New Roman"/>
                <w:lang w:val="en-US" w:eastAsia="zh-CN"/>
              </w:rPr>
              <w:t>书</w:t>
            </w:r>
            <w:r>
              <w:rPr>
                <w:rFonts w:hint="default" w:ascii="Times New Roman" w:hAnsi="Times New Roman" w:cs="Times New Roman"/>
                <w:lang w:eastAsia="zh-CN"/>
              </w:rPr>
              <w:t>》</w:t>
            </w:r>
            <w:r>
              <w:rPr>
                <w:rFonts w:hint="default" w:ascii="Times New Roman" w:hAnsi="Times New Roman" w:cs="Times New Roman"/>
                <w:lang w:val="en-US" w:eastAsia="zh-CN"/>
              </w:rPr>
              <w:t>符合性分析</w:t>
            </w:r>
          </w:p>
          <w:p>
            <w:pPr>
              <w:pStyle w:val="4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拟建项目选址于大足区双桥工业园区，项目应符合规划环评中要求的环境准入条件，符合性分析见下表1-1。</w:t>
            </w: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表1-1  与报告书环境准入负面清单符合性分析</w:t>
            </w:r>
            <w:r>
              <w:rPr>
                <w:rFonts w:hint="eastAsia" w:cs="Times New Roman"/>
                <w:color w:val="auto"/>
                <w:lang w:val="en-US" w:eastAsia="zh-CN"/>
              </w:rPr>
              <w:t>表</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2210"/>
              <w:gridCol w:w="2102"/>
              <w:gridCol w:w="6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相关规定要求</w:t>
                  </w:r>
                </w:p>
              </w:tc>
              <w:tc>
                <w:tcPr>
                  <w:tcW w:w="1611"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准入要求</w:t>
                  </w:r>
                </w:p>
              </w:tc>
              <w:tc>
                <w:tcPr>
                  <w:tcW w:w="1533"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符合性分析</w:t>
                  </w:r>
                </w:p>
              </w:tc>
              <w:tc>
                <w:tcPr>
                  <w:tcW w:w="479" w:type="pct"/>
                  <w:tcBorders>
                    <w:tl2br w:val="nil"/>
                    <w:tr2bl w:val="nil"/>
                  </w:tcBorders>
                  <w:noWrap w:val="0"/>
                  <w:vAlign w:val="center"/>
                </w:tcPr>
                <w:p>
                  <w:pPr>
                    <w:pStyle w:val="45"/>
                    <w:bidi w:val="0"/>
                    <w:ind w:firstLine="0" w:firstLineChars="0"/>
                    <w:jc w:val="both"/>
                    <w:rPr>
                      <w:rFonts w:hint="default" w:cs="Times New Roman"/>
                      <w:color w:val="0000FF"/>
                      <w:sz w:val="21"/>
                      <w:szCs w:val="21"/>
                      <w:lang w:val="en-US" w:eastAsia="zh-CN"/>
                    </w:rPr>
                  </w:pPr>
                  <w:r>
                    <w:rPr>
                      <w:rFonts w:hint="eastAsia" w:cs="Times New Roman"/>
                      <w:color w:val="0000FF"/>
                      <w:sz w:val="21"/>
                      <w:szCs w:val="21"/>
                      <w:lang w:val="en-US" w:eastAsia="zh-CN"/>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引入项目需满足国家及重庆市的相关法律法规、产业规划及环境准入相关要求</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引入项目需满足国家及重庆市的相关法律法规、产业规划及环境准入相关要求</w:t>
                  </w:r>
                </w:p>
              </w:tc>
              <w:tc>
                <w:tcPr>
                  <w:tcW w:w="1533"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拟建项目</w:t>
                  </w:r>
                  <w:r>
                    <w:rPr>
                      <w:rFonts w:hint="default" w:ascii="Times New Roman" w:hAnsi="Times New Roman" w:cs="Times New Roman" w:eastAsiaTheme="minorEastAsia"/>
                      <w:sz w:val="21"/>
                      <w:szCs w:val="21"/>
                      <w:lang w:val="en-US" w:eastAsia="zh-CN"/>
                    </w:rPr>
                    <w:t>满足</w:t>
                  </w:r>
                  <w:r>
                    <w:rPr>
                      <w:rFonts w:hint="default" w:ascii="Times New Roman" w:hAnsi="Times New Roman" w:cs="Times New Roman" w:eastAsiaTheme="minorEastAsia"/>
                      <w:sz w:val="21"/>
                      <w:szCs w:val="21"/>
                    </w:rPr>
                    <w:t>国家及重庆市的相关法律法规、产业规划及环境准入相关要求</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在西部片区严格限制建设高耗水的工业项目</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禁止引入用、排水量大的工业企业</w:t>
                  </w:r>
                </w:p>
              </w:tc>
              <w:tc>
                <w:tcPr>
                  <w:tcW w:w="1533"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拟建项目</w:t>
                  </w:r>
                  <w:r>
                    <w:rPr>
                      <w:rFonts w:hint="default" w:ascii="Times New Roman" w:hAnsi="Times New Roman" w:cs="Times New Roman" w:eastAsiaTheme="minorEastAsia"/>
                      <w:sz w:val="21"/>
                      <w:szCs w:val="21"/>
                      <w:lang w:val="en-US" w:eastAsia="zh-CN"/>
                    </w:rPr>
                    <w:t>不属于用、排水量大的工业企业</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双桥区内不得设立单独的电镀企业，但部分企业如需设置电镀项目，必须仅用于满足企业自身需求。企业的电镀、涂装等项目在新建、改扩建时要严格执行下一层次建设项目环境影响评价中卫生防护距离的要求，并加强废气、废水治理</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双桥工业园区内引入电镀项目需满足《重庆市电镀行业准入条件（2013年修订）》中相关要求。企业的电镀、涂装等项目在新建、改扩建时要严格执行下一层次建设项目环境影响评价中卫生防护距离的要求，并加强废气、废水治理</w:t>
                  </w:r>
                </w:p>
              </w:tc>
              <w:tc>
                <w:tcPr>
                  <w:tcW w:w="1533" w:type="pc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拟建项目</w:t>
                  </w:r>
                  <w:r>
                    <w:rPr>
                      <w:rFonts w:hint="default" w:ascii="Times New Roman" w:hAnsi="Times New Roman" w:cs="Times New Roman"/>
                      <w:color w:val="auto"/>
                      <w:sz w:val="21"/>
                      <w:szCs w:val="21"/>
                      <w:lang w:val="en-US" w:eastAsia="zh-CN"/>
                    </w:rPr>
                    <w:t>生产工艺不涉及电镀、涂装等</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汽车制造行业（涂装）资源环境绩效水平限值：新鲜用水量≤0.2吨/平方米；单位产品COD排放量≤17克/平方米；单位产品氨氮排放量≤2.55克/平方米；单位产品有机废气排放量：2C2B涂层≤50克/平方米，3C3B涂层≤60克/平方米，4C4B涂层≤70克/平方米，5C5B涂层≤80克/平方米</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汽车制造行业（涂装）：新鲜用水量＞0.2吨/平方米；单位产品COD排放量＞17克/平方米；单位产品氨氮排放量＞2.5克/平方米；单位产品有机废气排放量：2C2B涂层＞50克/平方米，3C3B涂层＞60克/平方米，4C4B涂层＞70克/平方米，5C5B涂层＞80克/平方米</w:t>
                  </w:r>
                </w:p>
              </w:tc>
              <w:tc>
                <w:tcPr>
                  <w:tcW w:w="1533" w:type="pc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拟建项目</w:t>
                  </w:r>
                  <w:r>
                    <w:rPr>
                      <w:rFonts w:hint="default" w:ascii="Times New Roman" w:hAnsi="Times New Roman" w:cs="Times New Roman"/>
                      <w:color w:val="auto"/>
                      <w:sz w:val="21"/>
                      <w:szCs w:val="21"/>
                      <w:lang w:val="en-US" w:eastAsia="zh-CN"/>
                    </w:rPr>
                    <w:t>不属于汽车制造行业</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限制、淘汰传统有机涂料的使用，鼓励使用水性涂料、高固份涂料、粉末涂料、紫外光固化（UV）涂料等环保型涂料；推广采用静电喷涂、淋涂、辊涂、浸涂等效率较高的涂装工艺</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禁止传统落后的喷涂工艺，如大规模人工喷涂、人工刷漆为主的涂装；上漆率低于清洁生产水平的喷涂等</w:t>
                  </w:r>
                </w:p>
              </w:tc>
              <w:tc>
                <w:tcPr>
                  <w:tcW w:w="1533" w:type="pc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拟建项目</w:t>
                  </w:r>
                  <w:r>
                    <w:rPr>
                      <w:rFonts w:hint="default" w:ascii="Times New Roman" w:hAnsi="Times New Roman" w:cs="Times New Roman"/>
                      <w:color w:val="auto"/>
                      <w:sz w:val="21"/>
                      <w:szCs w:val="21"/>
                      <w:lang w:val="en-US" w:eastAsia="zh-CN"/>
                    </w:rPr>
                    <w:t>生产工艺不涉及喷涂等</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实施密闭生产工艺，采取集中收集处理工艺，达标排放</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严格落实清洁能源计划，园区内禁止新增燃煤；推进挥发性有机物污染治理，含苯系物、挥发性有机物工艺废气经焚烧或活性炭吸附等工艺处理；水性涂料等低挥发性有机物含量涂料占总涂料使用量比例不低于50%；使用溶剂型涂料的表面涂装</w:t>
                  </w:r>
                  <w:r>
                    <w:rPr>
                      <w:rFonts w:hint="eastAsia" w:ascii="Times New Roman" w:hAnsi="Times New Roman" w:cs="Times New Roman" w:eastAsiaTheme="minorEastAsia"/>
                      <w:sz w:val="21"/>
                      <w:szCs w:val="21"/>
                      <w:lang w:eastAsia="zh-CN"/>
                    </w:rPr>
                    <w:t>环节</w:t>
                  </w:r>
                  <w:r>
                    <w:rPr>
                      <w:rFonts w:hint="default" w:ascii="Times New Roman" w:hAnsi="Times New Roman" w:cs="Times New Roman" w:eastAsiaTheme="minorEastAsia"/>
                      <w:sz w:val="21"/>
                      <w:szCs w:val="21"/>
                    </w:rPr>
                    <w:t xml:space="preserve">必须密闭作业，配备有机废气收集系统；VOCS收集效率不低于90%，VOCS处理效率不低于90% </w:t>
                  </w:r>
                </w:p>
              </w:tc>
              <w:tc>
                <w:tcPr>
                  <w:tcW w:w="1533" w:type="pc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挥发性有机物产生点为挤塑</w:t>
                  </w:r>
                  <w:r>
                    <w:rPr>
                      <w:rFonts w:hint="eastAsia" w:ascii="Times New Roman" w:hAnsi="Times New Roman" w:cs="Times New Roman"/>
                      <w:color w:val="auto"/>
                      <w:sz w:val="21"/>
                      <w:szCs w:val="21"/>
                      <w:lang w:val="en-US" w:eastAsia="zh-CN"/>
                    </w:rPr>
                    <w:t>、预热及定型环节</w:t>
                  </w:r>
                  <w:r>
                    <w:rPr>
                      <w:rFonts w:hint="default" w:ascii="Times New Roman" w:hAnsi="Times New Roman" w:cs="Times New Roman"/>
                      <w:color w:val="auto"/>
                      <w:sz w:val="21"/>
                      <w:szCs w:val="21"/>
                      <w:lang w:val="en-US" w:eastAsia="zh-CN"/>
                    </w:rPr>
                    <w:t>，该</w:t>
                  </w:r>
                  <w:r>
                    <w:rPr>
                      <w:rFonts w:hint="eastAsia" w:ascii="Times New Roman" w:hAnsi="Times New Roman" w:cs="Times New Roman"/>
                      <w:color w:val="auto"/>
                      <w:sz w:val="21"/>
                      <w:szCs w:val="21"/>
                      <w:lang w:val="en-US" w:eastAsia="zh-CN"/>
                    </w:rPr>
                    <w:t>环节</w:t>
                  </w:r>
                  <w:r>
                    <w:rPr>
                      <w:rFonts w:hint="default" w:ascii="Times New Roman" w:hAnsi="Times New Roman" w:cs="Times New Roman"/>
                      <w:color w:val="auto"/>
                      <w:sz w:val="21"/>
                      <w:szCs w:val="21"/>
                      <w:lang w:val="en-US" w:eastAsia="zh-CN"/>
                    </w:rPr>
                    <w:t>产生的少量挥发性有机废气采用局部抽风，并将收集的废气经治理设备有效处理后排放</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在太平河流域水环境质量未达标之前，双桥工业园区不得引进及扩建排放TP污染物的除民生工程、节能减排、生态环境保护和基础设施建设以外项目</w:t>
                  </w:r>
                </w:p>
              </w:tc>
              <w:tc>
                <w:tcPr>
                  <w:tcW w:w="1533" w:type="pct"/>
                  <w:tcBorders>
                    <w:tl2br w:val="nil"/>
                    <w:tr2bl w:val="nil"/>
                  </w:tcBorders>
                  <w:noWrap w:val="0"/>
                  <w:vAlign w:val="center"/>
                </w:tcPr>
                <w:p>
                  <w:pPr>
                    <w:pStyle w:val="45"/>
                    <w:bidi w:val="0"/>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太平河流域水环境质量已达标，且拟建项目仅产生生活污水</w:t>
                  </w:r>
                </w:p>
              </w:tc>
              <w:tc>
                <w:tcPr>
                  <w:tcW w:w="479" w:type="pct"/>
                  <w:tcBorders>
                    <w:tl2br w:val="nil"/>
                    <w:tr2bl w:val="nil"/>
                  </w:tcBorders>
                  <w:noWrap w:val="0"/>
                  <w:vAlign w:val="center"/>
                </w:tcPr>
                <w:p>
                  <w:pPr>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限制引入排放重金属的项目，在取得明确重金属总量指标来源的基础上，方可引入</w:t>
                  </w:r>
                </w:p>
              </w:tc>
              <w:tc>
                <w:tcPr>
                  <w:tcW w:w="1533" w:type="pc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不涉及排放重金属</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4"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双桥经开区包括双桥工业园、 邮亭两个工业组团，突出发展专用车、工程机械、轨道交通装备、再生金属、电脑配套等产业</w:t>
                  </w:r>
                </w:p>
              </w:tc>
              <w:tc>
                <w:tcPr>
                  <w:tcW w:w="1611" w:type="pct"/>
                  <w:tcBorders>
                    <w:tl2br w:val="nil"/>
                    <w:tr2bl w:val="nil"/>
                  </w:tcBorders>
                  <w:noWrap w:val="0"/>
                  <w:vAlign w:val="center"/>
                </w:tcPr>
                <w:p>
                  <w:pPr>
                    <w:pStyle w:val="45"/>
                    <w:bidi w:val="0"/>
                    <w:jc w:val="both"/>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限制引入主导产业以外的工业项目，在经过对产业相容性、环境相容性、环境影响等科学论证，满足相关要求的前提下方可引入</w:t>
                  </w:r>
                </w:p>
              </w:tc>
              <w:tc>
                <w:tcPr>
                  <w:tcW w:w="1533" w:type="pc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不属于禁止类、限制类项目，符合相关产业政策、环境相容性，环境影响较小</w:t>
                  </w:r>
                </w:p>
              </w:tc>
              <w:tc>
                <w:tcPr>
                  <w:tcW w:w="479" w:type="pct"/>
                  <w:tcBorders>
                    <w:tl2br w:val="nil"/>
                    <w:tr2bl w:val="nil"/>
                  </w:tcBorders>
                  <w:noWrap w:val="0"/>
                  <w:vAlign w:val="center"/>
                </w:tcPr>
                <w:p>
                  <w:pPr>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bl>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综上，拟建项目的建设符合规划环评中要求的环境准入条件。</w:t>
            </w:r>
          </w:p>
          <w:p>
            <w:pPr>
              <w:pStyle w:val="46"/>
              <w:numPr>
                <w:ilvl w:val="0"/>
                <w:numId w:val="0"/>
              </w:numPr>
              <w:bidi w:val="0"/>
              <w:ind w:leftChars="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2.与</w:t>
            </w:r>
            <w:r>
              <w:rPr>
                <w:rFonts w:hint="default" w:ascii="Times New Roman" w:hAnsi="Times New Roman" w:eastAsia="宋体" w:cs="Times New Roman"/>
                <w:color w:val="auto"/>
                <w:lang w:eastAsia="zh-CN"/>
              </w:rPr>
              <w:t>《</w:t>
            </w:r>
            <w:r>
              <w:rPr>
                <w:rFonts w:hint="default" w:ascii="Times New Roman" w:hAnsi="Times New Roman" w:cs="Times New Roman"/>
                <w:color w:val="auto"/>
                <w:lang w:val="en-US" w:eastAsia="zh-CN"/>
              </w:rPr>
              <w:t>重庆市环境保护局关于</w:t>
            </w:r>
            <w:r>
              <w:rPr>
                <w:rFonts w:hint="default" w:ascii="Times New Roman" w:hAnsi="Times New Roman" w:cs="Times New Roman"/>
                <w:color w:val="auto"/>
                <w:lang w:eastAsia="zh-CN"/>
              </w:rPr>
              <w:t>双桥工业园区控制性详细规划（整合）环境影响报告</w:t>
            </w:r>
            <w:r>
              <w:rPr>
                <w:rFonts w:hint="default" w:ascii="Times New Roman" w:hAnsi="Times New Roman" w:cs="Times New Roman"/>
                <w:color w:val="auto"/>
                <w:lang w:val="en-US" w:eastAsia="zh-CN"/>
              </w:rPr>
              <w:t>书审查意见的函</w:t>
            </w:r>
            <w:r>
              <w:rPr>
                <w:rFonts w:hint="default" w:ascii="Times New Roman" w:hAnsi="Times New Roman" w:eastAsia="宋体" w:cs="Times New Roman"/>
                <w:color w:val="auto"/>
                <w:lang w:eastAsia="zh-CN"/>
              </w:rPr>
              <w:t>》</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渝环函</w:t>
            </w:r>
            <w:r>
              <w:rPr>
                <w:rFonts w:hint="eastAsia" w:cs="Times New Roman"/>
                <w:color w:val="auto"/>
                <w:lang w:val="en-US" w:eastAsia="zh-CN"/>
              </w:rPr>
              <w:t>〔</w:t>
            </w:r>
            <w:r>
              <w:rPr>
                <w:rFonts w:hint="default" w:ascii="Times New Roman" w:hAnsi="Times New Roman" w:cs="Times New Roman"/>
                <w:color w:val="auto"/>
                <w:lang w:eastAsia="zh-CN"/>
              </w:rPr>
              <w:t>20</w:t>
            </w:r>
            <w:r>
              <w:rPr>
                <w:rFonts w:hint="default" w:ascii="Times New Roman" w:hAnsi="Times New Roman" w:cs="Times New Roman"/>
                <w:color w:val="auto"/>
                <w:lang w:val="en-US" w:eastAsia="zh-CN"/>
              </w:rPr>
              <w:t>17</w:t>
            </w:r>
            <w:r>
              <w:rPr>
                <w:rFonts w:hint="eastAsia" w:cs="Times New Roman"/>
                <w:color w:val="auto"/>
                <w:lang w:val="en-US" w:eastAsia="zh-CN"/>
              </w:rPr>
              <w:t>〕</w:t>
            </w:r>
            <w:r>
              <w:rPr>
                <w:rFonts w:hint="default" w:ascii="Times New Roman" w:hAnsi="Times New Roman" w:cs="Times New Roman"/>
                <w:color w:val="auto"/>
                <w:lang w:val="en-US" w:eastAsia="zh-CN"/>
              </w:rPr>
              <w:t>1126</w:t>
            </w:r>
            <w:r>
              <w:rPr>
                <w:rFonts w:hint="default" w:ascii="Times New Roman" w:hAnsi="Times New Roman" w:cs="Times New Roman"/>
                <w:color w:val="auto"/>
                <w:lang w:eastAsia="zh-CN"/>
              </w:rPr>
              <w:t>号）符合性分析</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拟建项目选址于大足区双桥工业园区，项目应符合规划环评审查意见函的要求，符合性分析见下表1-2。</w:t>
            </w:r>
          </w:p>
          <w:p>
            <w:pPr>
              <w:pStyle w:val="44"/>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center"/>
              <w:rPr>
                <w:rFonts w:hint="default" w:ascii="Times New Roman" w:hAnsi="Times New Roman" w:cs="Times New Roman"/>
                <w:color w:val="auto"/>
                <w:lang w:val="en-US" w:eastAsia="zh-CN"/>
              </w:rPr>
            </w:pPr>
          </w:p>
          <w:p>
            <w:pPr>
              <w:pStyle w:val="44"/>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表1-2  与审查意见函符合性分析</w:t>
            </w:r>
            <w:r>
              <w:rPr>
                <w:rFonts w:hint="eastAsia" w:cs="Times New Roman"/>
                <w:color w:val="auto"/>
                <w:lang w:val="en-US" w:eastAsia="zh-CN"/>
              </w:rPr>
              <w:t>表</w:t>
            </w:r>
          </w:p>
          <w:tbl>
            <w:tblPr>
              <w:tblStyle w:val="20"/>
              <w:tblW w:w="4997"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6"/>
              <w:gridCol w:w="3734"/>
              <w:gridCol w:w="2079"/>
              <w:gridCol w:w="6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类别</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规划环评审查意见</w:t>
                  </w:r>
                </w:p>
              </w:tc>
              <w:tc>
                <w:tcPr>
                  <w:tcW w:w="1517"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符合性分析</w:t>
                  </w:r>
                </w:p>
              </w:tc>
              <w:tc>
                <w:tcPr>
                  <w:tcW w:w="505"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严格环境准入</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园区应当落实“三线―单”管理要求，以生态保护红线、环境质量底线、资源利用上线为约束，落实环境准入负面清单管控要求，严格建设项目环境准入。坚持源头防控，倡导循环经济，提高清洁生产水平，从源头控制和减少污染物的产排量。按照清洁生产标准要求，不断提升园区工业企业清洁生产水平，新建、改扩建项目清洁生产水平不得低于国内先进水平</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符合园区准入要求，清洁生产水平满足国内先进水平</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优化产业布局</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引导园区围绕主导产业，发展完善产业链，不得引入与主导产业环境不相容、资源环境承载力不相协调的产业。园区现有的正大有限公司(生产饲料)、新世纪化纤（生产涤纶短纤维)不宜扩大规模。强化对周边学校、医院和居住区等环境敏感目标的保护，居住用地、学校用地等应尽可能布置在车城大道北侧。工业用地与居住用地之间应当设置不小于50米的绿化隔离带，临近居住用地侧不得布置大气污染较重和噪声影响较大的项目。涉及环境防护距离的项目，其防护距离范围需控制在工业园区红线范围内并由建设项目环评确定。根据园区发展及区域环境质量现状，建议适时将四方小学搬迁至车城大道北侧</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与主导产业环境相容，与资源环境承载力相协调，距最近居住用地不小于200m</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强化大气污染防治</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开展园区降尘控尘措施，对修建道路、厂房等要采取无尘作业，减少粉尘排放。加强对排放挥发性有机物的企业监管，按照《“十三五”挥发性有机物污染防治工作方案》等相关要求落实挥发性有机物的收集和治理措施。新建、扩建包含喷涂生产工艺的建设项目，原则上应当选用水性涂料、高固份涂料等低挥发性有机物含量涂料；已建项目，要采取原料替代、清洁生产、工艺改造、强化措施等手段减少挥发性有机物的排放量。落实清洁能源计划，园区禁止新增燃煤的建设项目。通桥街道和双路街道上风风向的汽研所、贝卡尔特轮胎帘线有限公司、重汽集团、双专汽车等应当强化废气治理措施，防止废气对居民造成污染，严格控制生产规模，项目扩建应当满足大气污染物“增产不增污”</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按照《“十三五”挥发性有机物污染防治工作方案》等相关要求落实挥发性有机物的收集和治理措施，并加强对排放挥发性有机物的企业监管</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抓好水污染防治</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当地政府及有关部门应当积极推进流域综合整治和污染治理工作，强化工业废水排放量及其主要水污染物的总量控制，督促入园企业采取切实有效的节水和废水治理措施，强化园区工业污水集中处理，尽早完成双桥污水处理厂提标改造及扩建工程，配套建成污水管网，提高生活污水收集和处理效率，抓好农业面源和畜禽养殖污染治理，为规划实施腾出环境容量。规划的实施、建设项目环评文件审批等必须确保区域水环境质量满足环境功能区要求。强化地下水污染防控，落实分区、分级防渗措施，防止规划实施对区域地下水环境造成污染。定期开展园区地下水跟踪监测评价工作，根据监测结论，完善相应的地下水污染防控措施</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废水为双桥污水处理厂受纳范围内，厂区出水达标后排放；厂区进行分区防渗，并实施相关地下水环境污染防控措施</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做好噪声污染防治</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学校、居住区等环境敏感目标附近不宜布设噪声值排放较高的企业。企业应当优先选用低噪声设备，对高噪声设备，必须采取隔声、消声、减振等有效的噪声防治措施</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周边200m范围内不涉及学校、居住区等环境敏感目标，厂区采取隔声、消声、减振等有效的噪声防治措施以减少对外环境影响</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做好土壤和固体废物污染防治</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固体废物应当分类收集，固体废物的贮存设施应当按照有关规范做好防扬散、防流失、</w:t>
                  </w:r>
                  <w:r>
                    <w:rPr>
                      <w:rFonts w:hint="eastAsia" w:cs="Times New Roman"/>
                      <w:color w:val="auto"/>
                      <w:sz w:val="21"/>
                      <w:szCs w:val="21"/>
                      <w:lang w:val="en-US" w:eastAsia="zh-CN"/>
                    </w:rPr>
                    <w:t>防</w:t>
                  </w:r>
                  <w:r>
                    <w:rPr>
                      <w:rFonts w:hint="default" w:ascii="Times New Roman" w:hAnsi="Times New Roman" w:cs="Times New Roman"/>
                      <w:color w:val="auto"/>
                      <w:sz w:val="21"/>
                      <w:szCs w:val="21"/>
                      <w:lang w:val="en-US" w:eastAsia="zh-CN"/>
                    </w:rPr>
                    <w:t>渗漏，不得造成二次环境污染。危险废物应当委托具有相应危险废物经营资质的单位进行处置，并严格按照危险废物管理有关规定进行收集和贮存。生活垃圾应当统一收集后交由环卫部门处理。对涉及产排重金属等持久性污染物的艾诺斯、机电集团铸造有限公司，危险废物产生种类较多、数量较大的中天电子等企业要严格按照“土十条”要求落实污染防治措施，避免对土壤和地下水造成污染</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不涉及重金属危险废物的产生，产生的固体废物进行分类收集、暂存，并做好相关防范措施及处置</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强化环境风险防范</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配套建设风险防范设施，完善风险防范措施，建立健全环境风险防范体系，编制区域环境风险应急预案，定期开展环境风险防范演练，加强对环境风险危险源的监测、监控并实施监督管理，避免因风险事故对邻近居民和周边环境造成损害</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在运营期内配套完善厂区风险防范措施，建立健全环境风险防范体系</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完善环境管理措施</w:t>
                  </w:r>
                </w:p>
              </w:tc>
              <w:tc>
                <w:tcPr>
                  <w:tcW w:w="272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对艾诺斯、机电集团铸造有限公司等排放重金属等持久性污染物的项目，应当按照《环境影响评价法》《环境影响后评价管理办法(试行)》等规定开展环境影响后评价，重点就项目对环境的影响情况、污染治理设施的有效性、防护距离的合理性、环境风险的可控性等进行跟踪调查和评价，并根据评价结果有针对性的完善措施。成立专门的环保机构，配备专业管理人员和必要的监测、监控设备，制定环境保护规章制度，落实环境管理、污染治理和环境风险防范主体责任，做好日常环境保护工作</w:t>
                  </w:r>
                </w:p>
              </w:tc>
              <w:tc>
                <w:tcPr>
                  <w:tcW w:w="1517"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在运营期内建立完善的环境管理制度</w:t>
                  </w:r>
                </w:p>
              </w:tc>
              <w:tc>
                <w:tcPr>
                  <w:tcW w:w="505" w:type="pct"/>
                  <w:tcBorders>
                    <w:tl2br w:val="nil"/>
                    <w:tr2bl w:val="nil"/>
                  </w:tcBorders>
                  <w:noWrap w:val="0"/>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符合</w:t>
                  </w:r>
                </w:p>
              </w:tc>
            </w:tr>
          </w:tbl>
          <w:p>
            <w:pPr>
              <w:pStyle w:val="4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综上，拟建项目的建设符合规划环评审查意见函要求。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08" w:type="dxa"/>
            <w:noWrap w:val="0"/>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其他符合性分析</w:t>
            </w:r>
          </w:p>
        </w:tc>
        <w:tc>
          <w:tcPr>
            <w:tcW w:w="7071" w:type="dxa"/>
            <w:gridSpan w:val="3"/>
            <w:noWrap w:val="0"/>
            <w:vAlign w:val="center"/>
          </w:tcPr>
          <w:p>
            <w:pPr>
              <w:pStyle w:val="46"/>
              <w:numPr>
                <w:ilvl w:val="0"/>
                <w:numId w:val="0"/>
              </w:numPr>
              <w:bidi w:val="0"/>
              <w:ind w:left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1.产业政策符合性分析</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拟建项目属于塑料制品业，根据《产业结构调整指导目录（2019年本）》，不属于限制类、淘汰类、鼓励类项目，属于允许类，符合国家产业政策要求。</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拟建项目已取得重庆市大足区发展和改革委员会下发的重庆市企业投资项目备案证（备案代码：</w:t>
            </w:r>
            <w:r>
              <w:rPr>
                <w:rFonts w:hint="eastAsia" w:ascii="Times New Roman" w:hAnsi="Times New Roman" w:cs="Times New Roman"/>
                <w:color w:val="auto"/>
                <w:szCs w:val="21"/>
                <w:lang w:val="en-US" w:eastAsia="zh-CN"/>
              </w:rPr>
              <w:t>2110</w:t>
            </w:r>
            <w:r>
              <w:rPr>
                <w:rFonts w:hint="default" w:ascii="Times New Roman" w:hAnsi="Times New Roman" w:cs="Times New Roman"/>
                <w:color w:val="auto"/>
                <w:szCs w:val="21"/>
                <w:lang w:val="en-US" w:eastAsia="zh-CN"/>
              </w:rPr>
              <w:t>-500111-04-0</w:t>
            </w: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lang w:val="en-US" w:eastAsia="zh-CN"/>
              </w:rPr>
              <w:t>-</w:t>
            </w:r>
            <w:r>
              <w:rPr>
                <w:rFonts w:hint="eastAsia" w:ascii="Times New Roman" w:hAnsi="Times New Roman" w:cs="Times New Roman"/>
                <w:color w:val="auto"/>
                <w:szCs w:val="21"/>
                <w:lang w:val="en-US" w:eastAsia="zh-CN"/>
              </w:rPr>
              <w:t>592058</w:t>
            </w:r>
            <w:r>
              <w:rPr>
                <w:rFonts w:hint="default" w:ascii="Times New Roman" w:hAnsi="Times New Roman" w:cs="Times New Roman"/>
                <w:color w:val="auto"/>
                <w:lang w:val="en-US" w:eastAsia="zh-CN"/>
              </w:rPr>
              <w:t>），同意拟建项目的建设。</w:t>
            </w:r>
          </w:p>
          <w:p>
            <w:pPr>
              <w:pStyle w:val="46"/>
              <w:numPr>
                <w:ilvl w:val="0"/>
                <w:numId w:val="0"/>
              </w:numPr>
              <w:bidi w:val="0"/>
              <w:ind w:leftChars="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2.</w:t>
            </w:r>
            <w:r>
              <w:rPr>
                <w:rFonts w:hint="default" w:ascii="Times New Roman" w:hAnsi="Times New Roman" w:cs="Times New Roman"/>
                <w:color w:val="0000FF"/>
                <w:lang w:val="en-US" w:eastAsia="zh-CN"/>
              </w:rPr>
              <w:t>与《重庆市发展和改革委员会重庆市经济和信息化委员会关于严格工业布局和准入的通知》（渝发改</w:t>
            </w:r>
            <w:r>
              <w:rPr>
                <w:rFonts w:hint="eastAsia" w:cs="Times New Roman"/>
                <w:color w:val="0000FF"/>
                <w:lang w:val="en-US" w:eastAsia="zh-CN"/>
              </w:rPr>
              <w:t>〔</w:t>
            </w:r>
            <w:r>
              <w:rPr>
                <w:rFonts w:hint="default" w:ascii="Times New Roman" w:hAnsi="Times New Roman" w:cs="Times New Roman"/>
                <w:color w:val="0000FF"/>
                <w:lang w:val="en-US" w:eastAsia="zh-CN"/>
              </w:rPr>
              <w:t>2018</w:t>
            </w:r>
            <w:r>
              <w:rPr>
                <w:rFonts w:hint="eastAsia" w:cs="Times New Roman"/>
                <w:color w:val="0000FF"/>
                <w:lang w:val="en-US" w:eastAsia="zh-CN"/>
              </w:rPr>
              <w:t>〕</w:t>
            </w:r>
            <w:r>
              <w:rPr>
                <w:rFonts w:hint="default" w:ascii="Times New Roman" w:hAnsi="Times New Roman" w:cs="Times New Roman"/>
                <w:color w:val="0000FF"/>
                <w:lang w:val="en-US" w:eastAsia="zh-CN"/>
              </w:rPr>
              <w:t>781号）符合性分析</w:t>
            </w:r>
          </w:p>
          <w:p>
            <w:pPr>
              <w:pStyle w:val="43"/>
              <w:bidi w:val="0"/>
              <w:rPr>
                <w:rFonts w:hint="default" w:ascii="Times New Roman" w:hAnsi="Times New Roman" w:cs="Times New Roman"/>
                <w:color w:val="0000FF"/>
                <w:lang w:val="en-US" w:eastAsia="zh-CN"/>
              </w:rPr>
            </w:pPr>
            <w:r>
              <w:rPr>
                <w:rFonts w:hint="eastAsia" w:cs="Times New Roman"/>
                <w:color w:val="0000FF"/>
                <w:lang w:val="en-US" w:eastAsia="zh-CN"/>
              </w:rPr>
              <w:t>拟建</w:t>
            </w:r>
            <w:r>
              <w:rPr>
                <w:rFonts w:hint="default" w:ascii="Times New Roman" w:hAnsi="Times New Roman" w:cs="Times New Roman"/>
                <w:color w:val="0000FF"/>
                <w:lang w:val="en-US" w:eastAsia="zh-CN"/>
              </w:rPr>
              <w:t>项目与《重庆市发展和改革委员会重庆市经济和信息化委员会关于严格工业布局和准入的通知》符合性分析见表1-3。</w:t>
            </w:r>
          </w:p>
          <w:p>
            <w:pPr>
              <w:pStyle w:val="43"/>
              <w:bidi w:val="0"/>
              <w:ind w:left="0" w:leftChars="0" w:firstLine="0" w:firstLineChars="0"/>
              <w:jc w:val="center"/>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 xml:space="preserve">表1-3 </w:t>
            </w:r>
            <w:r>
              <w:rPr>
                <w:rFonts w:hint="eastAsia" w:cs="Times New Roman"/>
                <w:color w:val="0000FF"/>
                <w:lang w:val="en-US" w:eastAsia="zh-CN"/>
              </w:rPr>
              <w:t xml:space="preserve"> 拟建</w:t>
            </w:r>
            <w:r>
              <w:rPr>
                <w:rFonts w:hint="default" w:ascii="Times New Roman" w:hAnsi="Times New Roman" w:cs="Times New Roman"/>
                <w:color w:val="0000FF"/>
                <w:lang w:val="en-US" w:eastAsia="zh-CN"/>
              </w:rPr>
              <w:t>项目与《重庆市发展和改革委员会重庆市经济和信息化委员会关于严格工业布局和准入的通知》符合性分析</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9"/>
              <w:gridCol w:w="1598"/>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52" w:type="pct"/>
                  <w:tcBorders>
                    <w:bottom w:val="single" w:color="auto" w:sz="4" w:space="0"/>
                  </w:tcBorders>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政策规定</w:t>
                  </w:r>
                </w:p>
              </w:tc>
              <w:tc>
                <w:tcPr>
                  <w:tcW w:w="1598" w:type="dxa"/>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符合性分析</w:t>
                  </w:r>
                </w:p>
              </w:tc>
              <w:tc>
                <w:tcPr>
                  <w:tcW w:w="658" w:type="dxa"/>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tcBorders>
                    <w:bottom w:val="single" w:color="auto" w:sz="4" w:space="0"/>
                  </w:tcBorders>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一、优化空间布局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52"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对在长江干流及主要支流岸线1公里范围内新建重化工、纺织、造纸等存在污染风险的工业项目，不得办理项目核准或备案手续。禁止在长江干流及主要支流岸线5公里范围内新布局工业园区，有序推进现有工业园区空间布局的调整优化。</w:t>
                  </w:r>
                </w:p>
              </w:tc>
              <w:tc>
                <w:tcPr>
                  <w:tcW w:w="1167"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拟建</w:t>
                  </w:r>
                  <w:r>
                    <w:rPr>
                      <w:rFonts w:hint="default" w:ascii="Times New Roman" w:hAnsi="Times New Roman" w:cs="Times New Roman"/>
                      <w:color w:val="0000FF"/>
                      <w:sz w:val="21"/>
                      <w:szCs w:val="21"/>
                      <w:lang w:val="en-US" w:eastAsia="zh-CN"/>
                    </w:rPr>
                    <w:t>项目不属于化工、纺织、造纸等存在污染风险的工业项目</w:t>
                  </w:r>
                </w:p>
              </w:tc>
              <w:tc>
                <w:tcPr>
                  <w:tcW w:w="481"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二、新建项目入园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52"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新建有污染物排放的工业项目，除在安全生产或者产业布局等方面有特殊要求外，应当进入工业园区（工业集聚区，下同）。对未进入工业园区的项目，或在工业园区（工业集聚区）以外区域实施单纯增加产能的技改（扩建）的项目，不得办理项目核准或备案手续。</w:t>
                  </w:r>
                </w:p>
              </w:tc>
              <w:tc>
                <w:tcPr>
                  <w:tcW w:w="1167"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拟建</w:t>
                  </w:r>
                  <w:r>
                    <w:rPr>
                      <w:rFonts w:hint="default" w:ascii="Times New Roman" w:hAnsi="Times New Roman" w:cs="Times New Roman"/>
                      <w:color w:val="0000FF"/>
                      <w:sz w:val="21"/>
                      <w:szCs w:val="21"/>
                      <w:lang w:val="en-US" w:eastAsia="zh-CN"/>
                    </w:rPr>
                    <w:t>项目位于</w:t>
                  </w:r>
                  <w:r>
                    <w:rPr>
                      <w:rFonts w:hint="default" w:ascii="Times New Roman" w:hAnsi="Times New Roman" w:cs="Times New Roman"/>
                      <w:color w:val="0000FF"/>
                      <w:szCs w:val="21"/>
                      <w:lang w:val="en-US" w:eastAsia="zh-CN"/>
                    </w:rPr>
                    <w:t>双桥</w:t>
                  </w:r>
                  <w:r>
                    <w:rPr>
                      <w:rFonts w:hint="default" w:ascii="Times New Roman" w:hAnsi="Times New Roman" w:cs="Times New Roman"/>
                      <w:color w:val="0000FF"/>
                      <w:szCs w:val="21"/>
                    </w:rPr>
                    <w:t>工业园区</w:t>
                  </w:r>
                  <w:r>
                    <w:rPr>
                      <w:rFonts w:hint="default" w:ascii="Times New Roman" w:hAnsi="Times New Roman" w:cs="Times New Roman"/>
                      <w:color w:val="0000FF"/>
                      <w:sz w:val="21"/>
                      <w:szCs w:val="21"/>
                      <w:lang w:val="en-US" w:eastAsia="zh-CN"/>
                    </w:rPr>
                    <w:t>，</w:t>
                  </w:r>
                  <w:r>
                    <w:rPr>
                      <w:rFonts w:hint="eastAsia" w:cs="Times New Roman"/>
                      <w:color w:val="0000FF"/>
                      <w:sz w:val="21"/>
                      <w:szCs w:val="21"/>
                      <w:lang w:val="en-US" w:eastAsia="zh-CN"/>
                    </w:rPr>
                    <w:t>属于</w:t>
                  </w:r>
                  <w:r>
                    <w:rPr>
                      <w:rFonts w:hint="default" w:ascii="Times New Roman" w:hAnsi="Times New Roman" w:cs="Times New Roman"/>
                      <w:color w:val="0000FF"/>
                      <w:sz w:val="21"/>
                      <w:szCs w:val="21"/>
                      <w:lang w:val="en-US" w:eastAsia="zh-CN"/>
                    </w:rPr>
                    <w:t>工业园区</w:t>
                  </w:r>
                </w:p>
              </w:tc>
              <w:tc>
                <w:tcPr>
                  <w:tcW w:w="481"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三、严格产业准入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52"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严格控制过剩产能和“两高一资”项目，严格限制造纸、印染、煤电、传统化工、传统燃油汽车、涉及重金属以及有毒有害和持久性污染物排放的项目。新建或扩建上述项目，必须符合国家及我市产业政策和布局，依法办理环境保护、安全生产、资源（能源）节约等有关手续。</w:t>
                  </w:r>
                </w:p>
              </w:tc>
              <w:tc>
                <w:tcPr>
                  <w:tcW w:w="1167"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拟建</w:t>
                  </w:r>
                  <w:r>
                    <w:rPr>
                      <w:rFonts w:hint="default" w:ascii="Times New Roman" w:hAnsi="Times New Roman" w:cs="Times New Roman"/>
                      <w:color w:val="0000FF"/>
                      <w:sz w:val="21"/>
                      <w:szCs w:val="21"/>
                      <w:lang w:val="en-US" w:eastAsia="zh-CN"/>
                    </w:rPr>
                    <w:t>项目不涉及重金属以及有毒有害和持久性污染物排放</w:t>
                  </w:r>
                </w:p>
              </w:tc>
              <w:tc>
                <w:tcPr>
                  <w:tcW w:w="481"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四、加强监督管理部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52"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按照本通知要求，对本区域内工业布局和项目准入严格把关，加强日常监管。对违反本通知要求的，我们将依据有关规定予以严肃处理</w:t>
                  </w:r>
                </w:p>
              </w:tc>
              <w:tc>
                <w:tcPr>
                  <w:tcW w:w="1167"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拟建</w:t>
                  </w:r>
                  <w:r>
                    <w:rPr>
                      <w:rFonts w:hint="default" w:ascii="Times New Roman" w:hAnsi="Times New Roman" w:cs="Times New Roman"/>
                      <w:color w:val="0000FF"/>
                      <w:sz w:val="21"/>
                      <w:szCs w:val="21"/>
                      <w:lang w:val="en-US" w:eastAsia="zh-CN"/>
                    </w:rPr>
                    <w:t>项目符合区域内工业布局和准入条件。</w:t>
                  </w:r>
                </w:p>
              </w:tc>
              <w:tc>
                <w:tcPr>
                  <w:tcW w:w="481" w:type="pct"/>
                  <w:vAlign w:val="center"/>
                </w:tcPr>
                <w:p>
                  <w:pPr>
                    <w:pStyle w:val="45"/>
                    <w:widowControl w:val="0"/>
                    <w:pBdr>
                      <w:top w:val="none" w:color="auto" w:sz="0" w:space="1"/>
                      <w:left w:val="none" w:color="auto" w:sz="0" w:space="4"/>
                      <w:bottom w:val="none" w:color="auto" w:sz="0" w:space="1"/>
                      <w:right w:val="none" w:color="auto" w:sz="0" w:space="4"/>
                      <w:between w:val="none" w:color="auto" w:sz="0" w:space="0"/>
                    </w:pBdr>
                    <w:autoSpaceDE w:val="0"/>
                    <w:autoSpaceDN w:val="0"/>
                    <w:bidi w:val="0"/>
                    <w:adjustRightInd w:val="0"/>
                    <w:snapToGrid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符合</w:t>
                  </w:r>
                </w:p>
              </w:tc>
            </w:tr>
          </w:tbl>
          <w:p>
            <w:pPr>
              <w:pStyle w:val="43"/>
              <w:bidi w:val="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由表1-3分析可知，</w:t>
            </w:r>
            <w:r>
              <w:rPr>
                <w:rFonts w:hint="eastAsia" w:cs="Times New Roman"/>
                <w:color w:val="0000FF"/>
                <w:lang w:val="en-US" w:eastAsia="zh-CN"/>
              </w:rPr>
              <w:t>拟建</w:t>
            </w:r>
            <w:r>
              <w:rPr>
                <w:rFonts w:hint="default" w:ascii="Times New Roman" w:hAnsi="Times New Roman" w:cs="Times New Roman"/>
                <w:color w:val="0000FF"/>
                <w:lang w:val="en-US" w:eastAsia="zh-CN"/>
              </w:rPr>
              <w:t>项目的建设符合《重庆市发展和改革委员会重庆市经济和信息化委员会关于严格工业布局和准入的通知》的相关要求。</w:t>
            </w:r>
          </w:p>
          <w:p>
            <w:pPr>
              <w:pStyle w:val="46"/>
              <w:numPr>
                <w:ilvl w:val="0"/>
                <w:numId w:val="0"/>
              </w:numPr>
              <w:bidi w:val="0"/>
              <w:ind w:leftChars="0"/>
              <w:rPr>
                <w:rFonts w:hint="default" w:ascii="Times New Roman" w:hAnsi="Times New Roman" w:cs="Times New Roman"/>
                <w:color w:val="auto"/>
                <w:lang w:val="en-US" w:eastAsia="zh-CN"/>
              </w:rPr>
            </w:pPr>
            <w:r>
              <w:rPr>
                <w:rFonts w:hint="eastAsia" w:cs="Times New Roman"/>
                <w:color w:val="auto"/>
                <w:lang w:val="en-US" w:eastAsia="zh-CN"/>
              </w:rPr>
              <w:t>3</w:t>
            </w:r>
            <w:r>
              <w:rPr>
                <w:rFonts w:hint="default" w:ascii="Times New Roman" w:hAnsi="Times New Roman" w:cs="Times New Roman"/>
                <w:color w:val="auto"/>
                <w:lang w:val="en-US" w:eastAsia="zh-CN"/>
              </w:rPr>
              <w:t>.与《重庆市产业投资准入工作手册》（渝发改投</w:t>
            </w:r>
            <w:r>
              <w:rPr>
                <w:rFonts w:hint="eastAsia" w:cs="Times New Roman"/>
                <w:color w:val="auto"/>
                <w:lang w:val="en-US" w:eastAsia="zh-CN"/>
              </w:rPr>
              <w:t>〔</w:t>
            </w:r>
            <w:r>
              <w:rPr>
                <w:rFonts w:hint="default" w:ascii="Times New Roman" w:hAnsi="Times New Roman" w:cs="Times New Roman"/>
                <w:color w:val="auto"/>
                <w:lang w:val="en-US" w:eastAsia="zh-CN"/>
              </w:rPr>
              <w:t>2018</w:t>
            </w:r>
            <w:r>
              <w:rPr>
                <w:rFonts w:hint="eastAsia" w:cs="Times New Roman"/>
                <w:color w:val="auto"/>
                <w:lang w:val="en-US" w:eastAsia="zh-CN"/>
              </w:rPr>
              <w:t>〕</w:t>
            </w:r>
            <w:r>
              <w:rPr>
                <w:rFonts w:hint="default" w:ascii="Times New Roman" w:hAnsi="Times New Roman" w:cs="Times New Roman"/>
                <w:color w:val="auto"/>
                <w:lang w:val="en-US" w:eastAsia="zh-CN"/>
              </w:rPr>
              <w:t>541号）符合性分析</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拟建项目位于大足区双桥工业园区，项目应符合《重庆市产业投资准入工作手册》（渝发改投</w:t>
            </w:r>
            <w:r>
              <w:rPr>
                <w:rFonts w:hint="eastAsia" w:cs="Times New Roman"/>
                <w:color w:val="auto"/>
                <w:lang w:val="en-US" w:eastAsia="zh-CN"/>
              </w:rPr>
              <w:t>〔</w:t>
            </w:r>
            <w:r>
              <w:rPr>
                <w:rFonts w:hint="default" w:ascii="Times New Roman" w:hAnsi="Times New Roman" w:cs="Times New Roman"/>
                <w:color w:val="auto"/>
                <w:lang w:val="en-US" w:eastAsia="zh-CN"/>
              </w:rPr>
              <w:t>2018</w:t>
            </w:r>
            <w:r>
              <w:rPr>
                <w:rFonts w:hint="eastAsia" w:cs="Times New Roman"/>
                <w:color w:val="auto"/>
                <w:lang w:val="en-US" w:eastAsia="zh-CN"/>
              </w:rPr>
              <w:t>〕</w:t>
            </w:r>
            <w:r>
              <w:rPr>
                <w:rFonts w:hint="default" w:ascii="Times New Roman" w:hAnsi="Times New Roman" w:cs="Times New Roman"/>
                <w:color w:val="auto"/>
                <w:lang w:val="en-US" w:eastAsia="zh-CN"/>
              </w:rPr>
              <w:t>541号）的产业投资准入政策，符合性分析见下表1-</w:t>
            </w:r>
            <w:r>
              <w:rPr>
                <w:rFonts w:hint="eastAsia" w:cs="Times New Roman"/>
                <w:color w:val="auto"/>
                <w:lang w:val="en-US" w:eastAsia="zh-CN"/>
              </w:rPr>
              <w:t>4</w:t>
            </w:r>
            <w:r>
              <w:rPr>
                <w:rFonts w:hint="default" w:ascii="Times New Roman" w:hAnsi="Times New Roman" w:cs="Times New Roman"/>
                <w:color w:val="auto"/>
                <w:lang w:val="en-US" w:eastAsia="zh-CN"/>
              </w:rPr>
              <w:t>。</w:t>
            </w: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表1-</w:t>
            </w:r>
            <w:r>
              <w:rPr>
                <w:rFonts w:hint="eastAsia" w:cs="Times New Roman"/>
                <w:color w:val="auto"/>
                <w:lang w:val="en-US" w:eastAsia="zh-CN"/>
              </w:rPr>
              <w:t>4</w:t>
            </w:r>
            <w:r>
              <w:rPr>
                <w:rFonts w:hint="default" w:ascii="Times New Roman" w:hAnsi="Times New Roman" w:cs="Times New Roman"/>
                <w:color w:val="auto"/>
                <w:lang w:val="en-US" w:eastAsia="zh-CN"/>
              </w:rPr>
              <w:t xml:space="preserve">  与重庆市产业投资准入工作手册产业投资准入政策符合性分析</w:t>
            </w:r>
            <w:r>
              <w:rPr>
                <w:rFonts w:hint="eastAsia" w:cs="Times New Roman"/>
                <w:color w:val="auto"/>
                <w:lang w:val="en-US" w:eastAsia="zh-CN"/>
              </w:rPr>
              <w:t>表</w:t>
            </w:r>
          </w:p>
          <w:tbl>
            <w:tblPr>
              <w:tblStyle w:val="19"/>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
              <w:gridCol w:w="64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6" w:type="pc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4673" w:type="pc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准入条件内容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6" w:type="pct"/>
                  <w:vMerge w:val="restar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w:t>
                  </w:r>
                </w:p>
              </w:tc>
              <w:tc>
                <w:tcPr>
                  <w:tcW w:w="4673" w:type="pc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全市范围内不予准入的产业。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6" w:type="pct"/>
                  <w:vMerge w:val="continue"/>
                  <w:shd w:val="clear" w:color="auto" w:fill="auto"/>
                  <w:noWrap w:val="0"/>
                  <w:vAlign w:val="center"/>
                </w:tcPr>
                <w:p>
                  <w:pPr>
                    <w:jc w:val="both"/>
                    <w:rPr>
                      <w:rFonts w:hint="default" w:ascii="Times New Roman" w:hAnsi="Times New Roman" w:cs="Times New Roman"/>
                      <w:color w:val="auto"/>
                      <w:sz w:val="21"/>
                      <w:szCs w:val="21"/>
                    </w:rPr>
                  </w:pPr>
                </w:p>
              </w:tc>
              <w:tc>
                <w:tcPr>
                  <w:tcW w:w="4673" w:type="pc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1、国家产业结构调整指导目录中的淘汰类项目。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2、烟花爆竹生产。</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3、400KA以下电解铝生产线。</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4、单机10万千瓦以下和设计寿命期满的单机20万千瓦以下常规燃煤火电机。</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5、天然林商业性采伐。</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6、资源环境绩效水平超过《重庆市工业项目环境准入规定》（渝办发</w:t>
                  </w:r>
                  <w:r>
                    <w:rPr>
                      <w:rFonts w:hint="eastAsia" w:cs="Times New Roman"/>
                      <w:color w:val="auto"/>
                      <w:sz w:val="21"/>
                      <w:szCs w:val="21"/>
                      <w:lang w:eastAsia="zh-CN"/>
                    </w:rPr>
                    <w:t>〔</w:t>
                  </w:r>
                  <w:r>
                    <w:rPr>
                      <w:rFonts w:hint="default" w:ascii="Times New Roman" w:hAnsi="Times New Roman" w:cs="Times New Roman"/>
                      <w:color w:val="auto"/>
                      <w:sz w:val="21"/>
                      <w:szCs w:val="21"/>
                    </w:rPr>
                    <w:t>2012</w:t>
                  </w:r>
                  <w:r>
                    <w:rPr>
                      <w:rFonts w:hint="eastAsia" w:cs="Times New Roman"/>
                      <w:color w:val="auto"/>
                      <w:sz w:val="21"/>
                      <w:szCs w:val="21"/>
                      <w:lang w:eastAsia="zh-CN"/>
                    </w:rPr>
                    <w:t>〕</w:t>
                  </w:r>
                  <w:r>
                    <w:rPr>
                      <w:rFonts w:hint="default" w:ascii="Times New Roman" w:hAnsi="Times New Roman" w:cs="Times New Roman"/>
                      <w:color w:val="auto"/>
                      <w:sz w:val="21"/>
                      <w:szCs w:val="21"/>
                    </w:rPr>
                    <w:t>142号）限值以及不符合生态建设和环境保护规划区域布局规定的工业项目。在环境容量超载的区域（流域）增加污染物排放的项止。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6" w:type="pct"/>
                  <w:vMerge w:val="restar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w:t>
                  </w:r>
                </w:p>
              </w:tc>
              <w:tc>
                <w:tcPr>
                  <w:tcW w:w="4673" w:type="pc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重点区域范围内不予准入的产业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6" w:type="pct"/>
                  <w:vMerge w:val="continue"/>
                  <w:shd w:val="clear" w:color="auto" w:fill="auto"/>
                  <w:noWrap w:val="0"/>
                  <w:vAlign w:val="center"/>
                </w:tcPr>
                <w:p>
                  <w:pPr>
                    <w:jc w:val="both"/>
                    <w:rPr>
                      <w:rFonts w:hint="default" w:ascii="Times New Roman" w:hAnsi="Times New Roman" w:cs="Times New Roman"/>
                      <w:color w:val="auto"/>
                      <w:sz w:val="21"/>
                      <w:szCs w:val="21"/>
                    </w:rPr>
                  </w:pPr>
                </w:p>
              </w:tc>
              <w:tc>
                <w:tcPr>
                  <w:tcW w:w="4673" w:type="pc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1、四山保护区域内的工业项目。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长江鱼嘴以上江段以及一级支汉汇入品上游20公里、嘉陵江及其一级支流汇入口上游20公里、集中式饮用水水源取水口上游20公里范围内的沿岸地区（江河50年一遇洪水位向陆域一侧1公里范围内）的重金属（铬、镉、汞、砷、铅等五类金重金属）、剧毒物质和持久性有机污染物工业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3、未进入国家和市政府批准的化工园区或化工集中区的化工项目。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4、大气污染防治重点控制区域内，燃煤火电、化工、水泥、采（碎）石场、烧结砖瓦窑以及燃煤锅炉等项目。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r>
                    <w:rPr>
                      <w:rFonts w:hint="eastAsia" w:cs="Times New Roman"/>
                      <w:color w:val="auto"/>
                      <w:sz w:val="21"/>
                      <w:szCs w:val="21"/>
                      <w:lang w:val="en-US" w:eastAsia="zh-CN"/>
                    </w:rPr>
                    <w:t>主城</w:t>
                  </w:r>
                  <w:r>
                    <w:rPr>
                      <w:rFonts w:hint="default" w:ascii="Times New Roman" w:hAnsi="Times New Roman" w:cs="Times New Roman"/>
                      <w:color w:val="auto"/>
                      <w:sz w:val="21"/>
                      <w:szCs w:val="21"/>
                    </w:rPr>
                    <w:t>区以外的各区县城区以及主导上风向5公里范围内，燃煤电厂、水泥、</w:t>
                  </w:r>
                  <w:r>
                    <w:rPr>
                      <w:rFonts w:hint="eastAsia" w:cs="Times New Roman"/>
                      <w:color w:val="auto"/>
                      <w:sz w:val="21"/>
                      <w:szCs w:val="21"/>
                      <w:lang w:val="en-US" w:eastAsia="zh-CN"/>
                    </w:rPr>
                    <w:t>冶炼</w:t>
                  </w:r>
                  <w:r>
                    <w:rPr>
                      <w:rFonts w:hint="default" w:ascii="Times New Roman" w:hAnsi="Times New Roman" w:cs="Times New Roman"/>
                      <w:color w:val="auto"/>
                      <w:sz w:val="21"/>
                      <w:szCs w:val="21"/>
                    </w:rPr>
                    <w:t>等大气污染严重的项目。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6、二十五度以上陡坡地开垦种植农作物。</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7、饮用水水源保护区、自然保护区、自然文化遗产地、湿地公园、森林公园、风景名胜名、地质公园等区域进行工业化城镇开发。</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8、生态红线控制区、生态环境敏感区、人口聚集区涉重金属排放项目。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9、长江干流及主要支流岸线1公里范围内重化工项目。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10、修改为长江干流及主要支流175米库岸沿线至第一山脊线范围内采矿。</w:t>
                  </w:r>
                </w:p>
                <w:p>
                  <w:pPr>
                    <w:pStyle w:val="62"/>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11、外环绕城高速以内长江、嘉陵江水城采砂。</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12、主城区不符合“两江四岸”规划设计景观要求的项目以及造纸、印染、危废处置项目。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13、主城区内环以内工业项目；内环以外燃煤电厂、重化工以及使用煤和重油为燃料的工业项目。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14、主城区及其主导上风向20公里范围内大</w:t>
                  </w:r>
                  <w:r>
                    <w:rPr>
                      <w:rFonts w:hint="eastAsia" w:cs="Times New Roman"/>
                      <w:color w:val="auto"/>
                      <w:sz w:val="21"/>
                      <w:szCs w:val="21"/>
                      <w:lang w:val="en-US" w:eastAsia="zh-CN"/>
                    </w:rPr>
                    <w:t>气</w:t>
                  </w:r>
                  <w:r>
                    <w:rPr>
                      <w:rFonts w:hint="default" w:ascii="Times New Roman" w:hAnsi="Times New Roman" w:cs="Times New Roman"/>
                      <w:color w:val="auto"/>
                      <w:sz w:val="21"/>
                      <w:szCs w:val="21"/>
                    </w:rPr>
                    <w:t>污染物严重的燃煤电厂、</w:t>
                  </w:r>
                  <w:r>
                    <w:rPr>
                      <w:rFonts w:hint="eastAsia" w:cs="Times New Roman"/>
                      <w:color w:val="auto"/>
                      <w:sz w:val="21"/>
                      <w:szCs w:val="21"/>
                      <w:lang w:val="en-US" w:eastAsia="zh-CN"/>
                    </w:rPr>
                    <w:t>冶炼</w:t>
                  </w:r>
                  <w:r>
                    <w:rPr>
                      <w:rFonts w:hint="default" w:ascii="Times New Roman" w:hAnsi="Times New Roman" w:cs="Times New Roman"/>
                      <w:color w:val="auto"/>
                      <w:sz w:val="21"/>
                      <w:szCs w:val="21"/>
                    </w:rPr>
                    <w:t>、水泥项目。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15、长江、嘉陵江主城区江段及其上游沿江河地区排放有毒物质、重金属以及存在严重环境安全风险的产业项目。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16、东北部地区和东南部地区的化工项目。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6" w:type="pct"/>
                  <w:vMerge w:val="restar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w:t>
                  </w:r>
                </w:p>
              </w:tc>
              <w:tc>
                <w:tcPr>
                  <w:tcW w:w="4673" w:type="pct"/>
                  <w:shd w:val="clear" w:color="auto" w:fill="auto"/>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限制准入类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26" w:type="pct"/>
                  <w:vMerge w:val="continue"/>
                  <w:shd w:val="clear" w:color="auto" w:fill="auto"/>
                  <w:noWrap w:val="0"/>
                  <w:vAlign w:val="center"/>
                </w:tcPr>
                <w:p>
                  <w:pPr>
                    <w:jc w:val="both"/>
                    <w:rPr>
                      <w:rFonts w:hint="default" w:ascii="Times New Roman" w:hAnsi="Times New Roman" w:cs="Times New Roman"/>
                      <w:color w:val="auto"/>
                      <w:sz w:val="21"/>
                      <w:szCs w:val="21"/>
                    </w:rPr>
                  </w:pPr>
                </w:p>
              </w:tc>
              <w:tc>
                <w:tcPr>
                  <w:tcW w:w="4673" w:type="pct"/>
                  <w:shd w:val="clear" w:color="auto" w:fill="auto"/>
                  <w:noWrap w:val="0"/>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color w:val="auto"/>
                      <w:sz w:val="21"/>
                      <w:szCs w:val="21"/>
                    </w:rPr>
                    <w:t>1、长江干流及主要支流岸线5公里内，除经国家和市</w:t>
                  </w:r>
                  <w:r>
                    <w:rPr>
                      <w:rFonts w:hint="eastAsia" w:cs="Times New Roman"/>
                      <w:color w:val="auto"/>
                      <w:sz w:val="21"/>
                      <w:szCs w:val="21"/>
                      <w:lang w:val="en-US" w:eastAsia="zh-CN"/>
                    </w:rPr>
                    <w:t>政府</w:t>
                  </w:r>
                  <w:r>
                    <w:rPr>
                      <w:rFonts w:hint="default" w:ascii="Times New Roman" w:hAnsi="Times New Roman" w:cs="Times New Roman"/>
                      <w:color w:val="auto"/>
                      <w:sz w:val="21"/>
                      <w:szCs w:val="21"/>
                    </w:rPr>
                    <w:t>批准设立的、仍在建设的工</w:t>
                  </w:r>
                  <w:r>
                    <w:rPr>
                      <w:rFonts w:hint="default" w:ascii="Times New Roman" w:hAnsi="Times New Roman" w:cs="Times New Roman" w:eastAsiaTheme="minorEastAsia"/>
                      <w:kern w:val="0"/>
                      <w:sz w:val="21"/>
                      <w:szCs w:val="21"/>
                      <w:lang w:val="en-US" w:eastAsia="zh-CN" w:bidi="ar-SA"/>
                    </w:rPr>
                    <w:t>业园区外，不再新布局工业园区。</w:t>
                  </w:r>
                </w:p>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2、大气污染防治一般控制区域内，限制建设</w:t>
                  </w:r>
                  <w:r>
                    <w:rPr>
                      <w:rFonts w:hint="eastAsia" w:cs="Times New Roman" w:eastAsiaTheme="minorEastAsia"/>
                      <w:kern w:val="0"/>
                      <w:sz w:val="21"/>
                      <w:szCs w:val="21"/>
                      <w:lang w:val="en-US" w:eastAsia="zh-CN" w:bidi="ar-SA"/>
                    </w:rPr>
                    <w:t>大气</w:t>
                  </w:r>
                  <w:r>
                    <w:rPr>
                      <w:rFonts w:hint="default" w:ascii="Times New Roman" w:hAnsi="Times New Roman" w:cs="Times New Roman" w:eastAsiaTheme="minorEastAsia"/>
                      <w:kern w:val="0"/>
                      <w:sz w:val="21"/>
                      <w:szCs w:val="21"/>
                      <w:lang w:val="en-US" w:eastAsia="zh-CN" w:bidi="ar-SA"/>
                    </w:rPr>
                    <w:t>污染严重项目。</w:t>
                  </w:r>
                </w:p>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3、其他区县缺水区域严格控制建设高耗水的工业项目。</w:t>
                  </w:r>
                </w:p>
                <w:p>
                  <w:pPr>
                    <w:jc w:val="both"/>
                    <w:rPr>
                      <w:rFonts w:hint="default" w:ascii="Times New Roman" w:hAnsi="Times New Roman" w:cs="Times New Roman"/>
                      <w:color w:val="auto"/>
                      <w:sz w:val="21"/>
                      <w:szCs w:val="21"/>
                    </w:rPr>
                  </w:pPr>
                  <w:r>
                    <w:rPr>
                      <w:rFonts w:hint="default" w:ascii="Times New Roman" w:hAnsi="Times New Roman" w:cs="Times New Roman" w:eastAsiaTheme="minorEastAsia"/>
                      <w:kern w:val="0"/>
                      <w:sz w:val="21"/>
                      <w:szCs w:val="21"/>
                      <w:lang w:val="en-US" w:eastAsia="zh-CN" w:bidi="ar-SA"/>
                    </w:rPr>
                    <w:t>4、合川区、江津区、长寿区、壁山区等</w:t>
                  </w:r>
                  <w:r>
                    <w:rPr>
                      <w:rFonts w:hint="default" w:ascii="Times New Roman" w:hAnsi="Times New Roman" w:cs="Times New Roman"/>
                      <w:color w:val="auto"/>
                      <w:sz w:val="21"/>
                      <w:szCs w:val="21"/>
                    </w:rPr>
                    <w:t>地区，严格限制新建可能对主城区大气产生影响的燃用煤、重油等高污染燃料的工业项目。</w:t>
                  </w:r>
                </w:p>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5、东北部地区、东南部地区限制发展易破坏生态植物的采矿业、建材等工业项目。</w:t>
                  </w:r>
                </w:p>
              </w:tc>
            </w:tr>
          </w:tbl>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综上，拟建项目不属于《重庆市产业投资准入工作手册》产业投资准入政策中的“限制准入、不予准入类”，符合《重庆市产业投资准入工作手册》（渝发改投</w:t>
            </w:r>
            <w:r>
              <w:rPr>
                <w:rFonts w:hint="eastAsia" w:cs="Times New Roman"/>
                <w:color w:val="auto"/>
                <w:lang w:val="en-US" w:eastAsia="zh-CN"/>
              </w:rPr>
              <w:t>〔</w:t>
            </w:r>
            <w:r>
              <w:rPr>
                <w:rFonts w:hint="default" w:ascii="Times New Roman" w:hAnsi="Times New Roman" w:cs="Times New Roman"/>
                <w:color w:val="auto"/>
                <w:lang w:val="en-US" w:eastAsia="zh-CN"/>
              </w:rPr>
              <w:t>2018</w:t>
            </w:r>
            <w:r>
              <w:rPr>
                <w:rFonts w:hint="eastAsia" w:cs="Times New Roman"/>
                <w:color w:val="auto"/>
                <w:lang w:val="en-US" w:eastAsia="zh-CN"/>
              </w:rPr>
              <w:t>〕</w:t>
            </w:r>
            <w:r>
              <w:rPr>
                <w:rFonts w:hint="default" w:ascii="Times New Roman" w:hAnsi="Times New Roman" w:cs="Times New Roman"/>
                <w:color w:val="auto"/>
                <w:lang w:val="en-US" w:eastAsia="zh-CN"/>
              </w:rPr>
              <w:t>541号）产业准入要求。</w:t>
            </w:r>
          </w:p>
          <w:p>
            <w:pPr>
              <w:spacing w:line="360" w:lineRule="auto"/>
              <w:rPr>
                <w:rFonts w:hint="default" w:ascii="Times New Roman" w:hAnsi="Times New Roman" w:eastAsia="宋体" w:cs="Times New Roman"/>
                <w:b/>
                <w:color w:val="0000FF"/>
                <w:kern w:val="0"/>
                <w:sz w:val="21"/>
                <w:szCs w:val="21"/>
                <w:lang w:val="en-US" w:eastAsia="zh-CN" w:bidi="ar-SA"/>
              </w:rPr>
            </w:pPr>
            <w:r>
              <w:rPr>
                <w:rFonts w:hint="eastAsia" w:eastAsia="宋体" w:cs="Times New Roman"/>
                <w:b/>
                <w:color w:val="0000FF"/>
                <w:kern w:val="0"/>
                <w:sz w:val="21"/>
                <w:szCs w:val="21"/>
                <w:lang w:val="en-US" w:eastAsia="zh-CN" w:bidi="ar-SA"/>
              </w:rPr>
              <w:t>4.</w:t>
            </w:r>
            <w:r>
              <w:rPr>
                <w:rFonts w:hint="default" w:ascii="Times New Roman" w:hAnsi="Times New Roman" w:eastAsia="宋体" w:cs="Times New Roman"/>
                <w:b/>
                <w:color w:val="0000FF"/>
                <w:kern w:val="0"/>
                <w:sz w:val="21"/>
                <w:szCs w:val="21"/>
                <w:lang w:val="en-US" w:eastAsia="zh-CN" w:bidi="ar-SA"/>
              </w:rPr>
              <w:t>与水十条、气十条、土十条</w:t>
            </w:r>
            <w:r>
              <w:rPr>
                <w:rFonts w:hint="eastAsia" w:cs="Times New Roman"/>
                <w:b/>
                <w:color w:val="0000FF"/>
                <w:kern w:val="0"/>
                <w:sz w:val="21"/>
                <w:szCs w:val="21"/>
                <w:lang w:val="en-US" w:eastAsia="zh-CN" w:bidi="ar-SA"/>
              </w:rPr>
              <w:t>、地下水污染防治实施方案</w:t>
            </w:r>
            <w:r>
              <w:rPr>
                <w:rFonts w:hint="default" w:ascii="Times New Roman" w:hAnsi="Times New Roman" w:eastAsia="宋体" w:cs="Times New Roman"/>
                <w:b/>
                <w:color w:val="0000FF"/>
                <w:kern w:val="0"/>
                <w:sz w:val="21"/>
                <w:szCs w:val="21"/>
                <w:lang w:val="en-US" w:eastAsia="zh-CN" w:bidi="ar-SA"/>
              </w:rPr>
              <w:t>符合性分析</w:t>
            </w:r>
          </w:p>
          <w:p>
            <w:pPr>
              <w:pStyle w:val="43"/>
              <w:bidi w:val="0"/>
              <w:rPr>
                <w:rFonts w:hint="default" w:ascii="Times New Roman" w:hAnsi="Times New Roman" w:eastAsia="宋体" w:cs="Times New Roman"/>
                <w:color w:val="0000FF"/>
                <w:lang w:val="en-US" w:eastAsia="zh-CN"/>
              </w:rPr>
            </w:pPr>
            <w:r>
              <w:rPr>
                <w:rFonts w:hint="eastAsia" w:eastAsia="宋体" w:cs="Times New Roman"/>
                <w:color w:val="0000FF"/>
                <w:lang w:val="en-US" w:eastAsia="zh-CN"/>
              </w:rPr>
              <w:t>拟建</w:t>
            </w:r>
            <w:r>
              <w:rPr>
                <w:rFonts w:hint="default" w:ascii="Times New Roman" w:hAnsi="Times New Roman" w:eastAsia="宋体" w:cs="Times New Roman"/>
                <w:color w:val="0000FF"/>
                <w:lang w:val="en-US" w:eastAsia="zh-CN"/>
              </w:rPr>
              <w:t>项目位于重庆市铜梁区，与水十条、气十条、土十条符合性详见表</w:t>
            </w:r>
            <w:r>
              <w:rPr>
                <w:rFonts w:hint="eastAsia" w:ascii="Times New Roman" w:hAnsi="Times New Roman" w:eastAsia="宋体" w:cs="Times New Roman"/>
                <w:color w:val="0000FF"/>
                <w:lang w:val="en-US" w:eastAsia="zh-CN"/>
              </w:rPr>
              <w:t>1-5</w:t>
            </w:r>
            <w:r>
              <w:rPr>
                <w:rFonts w:hint="default" w:ascii="Times New Roman" w:hAnsi="Times New Roman" w:eastAsia="宋体" w:cs="Times New Roman"/>
                <w:color w:val="0000FF"/>
                <w:lang w:val="en-US" w:eastAsia="zh-CN"/>
              </w:rPr>
              <w:t>。</w:t>
            </w:r>
          </w:p>
          <w:p>
            <w:pPr>
              <w:pStyle w:val="43"/>
              <w:bidi w:val="0"/>
              <w:ind w:left="0" w:leftChars="0" w:firstLine="0" w:firstLineChars="0"/>
              <w:jc w:val="center"/>
              <w:rPr>
                <w:rFonts w:hint="default" w:ascii="Times New Roman" w:hAnsi="Times New Roman" w:eastAsia="宋体" w:cs="Times New Roman"/>
                <w:color w:val="0000FF"/>
                <w:kern w:val="0"/>
                <w:szCs w:val="21"/>
                <w:lang w:val="en-US" w:eastAsia="zh-CN"/>
              </w:rPr>
            </w:pPr>
            <w:r>
              <w:rPr>
                <w:rFonts w:hint="default" w:ascii="Times New Roman" w:hAnsi="Times New Roman" w:eastAsia="宋体" w:cs="Times New Roman"/>
                <w:color w:val="0000FF"/>
                <w:lang w:val="en-US" w:eastAsia="zh-CN"/>
              </w:rPr>
              <w:t>表</w:t>
            </w:r>
            <w:r>
              <w:rPr>
                <w:rFonts w:hint="eastAsia" w:eastAsia="宋体" w:cs="Times New Roman"/>
                <w:color w:val="0000FF"/>
                <w:lang w:val="en-US" w:eastAsia="zh-CN"/>
              </w:rPr>
              <w:t>1-5</w:t>
            </w:r>
            <w:r>
              <w:rPr>
                <w:rFonts w:hint="default" w:ascii="Times New Roman" w:hAnsi="Times New Roman" w:eastAsia="宋体" w:cs="Times New Roman"/>
                <w:color w:val="0000FF"/>
                <w:kern w:val="0"/>
                <w:szCs w:val="21"/>
                <w:lang w:val="en-US" w:eastAsia="zh-CN"/>
              </w:rPr>
              <w:t xml:space="preserve">  与水十条、气十条、土十条符合性分析</w:t>
            </w:r>
          </w:p>
          <w:tbl>
            <w:tblPr>
              <w:tblStyle w:val="1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858"/>
              <w:gridCol w:w="4321"/>
              <w:gridCol w:w="983"/>
              <w:gridCol w:w="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条例名称</w:t>
                  </w: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相关要求</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ind w:firstLine="0" w:firstLineChars="0"/>
                    <w:jc w:val="both"/>
                    <w:rPr>
                      <w:rFonts w:hint="default" w:ascii="Times New Roman" w:hAnsi="Times New Roman" w:eastAsia="宋体" w:cs="Times New Roman"/>
                      <w:color w:val="0000FF"/>
                      <w:sz w:val="21"/>
                      <w:szCs w:val="21"/>
                    </w:rPr>
                  </w:pPr>
                  <w:r>
                    <w:rPr>
                      <w:rFonts w:hint="eastAsia" w:cs="Times New Roman"/>
                      <w:color w:val="0000FF"/>
                      <w:sz w:val="21"/>
                      <w:szCs w:val="21"/>
                      <w:lang w:val="en-US" w:eastAsia="zh-CN"/>
                    </w:rPr>
                    <w:t>符合性分析</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pStyle w:val="45"/>
                    <w:bidi w:val="0"/>
                    <w:ind w:firstLine="0" w:firstLineChars="0"/>
                    <w:jc w:val="both"/>
                    <w:rPr>
                      <w:rFonts w:hint="default" w:ascii="Times New Roman" w:hAnsi="Times New Roman" w:eastAsia="宋体" w:cs="Times New Roman"/>
                      <w:color w:val="0000FF"/>
                      <w:sz w:val="21"/>
                      <w:szCs w:val="21"/>
                    </w:rPr>
                  </w:pPr>
                  <w:r>
                    <w:rPr>
                      <w:rFonts w:hint="eastAsia" w:cs="Times New Roman"/>
                      <w:color w:val="0000FF"/>
                      <w:sz w:val="21"/>
                      <w:szCs w:val="21"/>
                      <w:lang w:val="en-US" w:eastAsia="zh-CN"/>
                    </w:rPr>
                    <w:t>是否符合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《大气污染防治行动计划》（国发</w:t>
                  </w:r>
                  <w:r>
                    <w:rPr>
                      <w:rFonts w:hint="eastAsia" w:cs="Times New Roman"/>
                      <w:color w:val="0000FF"/>
                      <w:sz w:val="21"/>
                      <w:szCs w:val="21"/>
                      <w:lang w:eastAsia="zh-CN"/>
                    </w:rPr>
                    <w:t>〔</w:t>
                  </w:r>
                  <w:r>
                    <w:rPr>
                      <w:rFonts w:hint="default" w:ascii="Times New Roman" w:hAnsi="Times New Roman" w:eastAsia="宋体" w:cs="Times New Roman"/>
                      <w:color w:val="0000FF"/>
                      <w:sz w:val="21"/>
                      <w:szCs w:val="21"/>
                    </w:rPr>
                    <w:t>2013</w:t>
                  </w:r>
                  <w:r>
                    <w:rPr>
                      <w:rFonts w:hint="eastAsia" w:cs="Times New Roman"/>
                      <w:color w:val="0000FF"/>
                      <w:sz w:val="21"/>
                      <w:szCs w:val="21"/>
                      <w:lang w:eastAsia="zh-CN"/>
                    </w:rPr>
                    <w:t>〕</w:t>
                  </w:r>
                  <w:r>
                    <w:rPr>
                      <w:rFonts w:hint="default" w:ascii="Times New Roman" w:hAnsi="Times New Roman" w:eastAsia="宋体" w:cs="Times New Roman"/>
                      <w:color w:val="0000FF"/>
                      <w:sz w:val="21"/>
                      <w:szCs w:val="21"/>
                    </w:rPr>
                    <w:t>37号）</w:t>
                  </w: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全面整治燃煤小锅炉。到2017年，除必要保留的以外，地级及以上城市建成区基本淘汰每小时10蒸吨及以下的燃煤锅炉，禁止新建每小时20蒸吨以下的燃煤锅炉；其他地区原则上不再新建每小时10蒸吨以下的燃煤锅炉。</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rPr>
                    <w:t>项目不新建锅炉</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严控“两高”行业新增产能。加快淘汰落后产能。压缩过剩产能。坚决停建产能严重过剩行业违规在建项目。</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不属于“两高”行业，符合产业政策要求</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所有新、改、扩建项目，必须全部进行环境影响评价；未通过环境影响评价审批的，一律不准开工建设；违规建设的，要依法进行处罚。加强产业政策在产业转移过程中的引导与约束作用，严格限制在生态脆弱或环境敏感地区建设“两高”行业项目。严格实施污染物排放总量控制，将二氧化硫、氮氧化物、烟粉尘和挥发性有机物排放是否符合总量控制要求作为建设项目环境影响评价审批的前置条件。</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不属于“两高”行业，不涉及总量指标</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《水污染防治行动计划》（国发</w:t>
                  </w:r>
                  <w:r>
                    <w:rPr>
                      <w:rFonts w:hint="eastAsia" w:cs="Times New Roman"/>
                      <w:color w:val="0000FF"/>
                      <w:sz w:val="21"/>
                      <w:szCs w:val="21"/>
                      <w:lang w:eastAsia="zh-CN"/>
                    </w:rPr>
                    <w:t>〔</w:t>
                  </w:r>
                  <w:r>
                    <w:rPr>
                      <w:rFonts w:hint="default" w:ascii="Times New Roman" w:hAnsi="Times New Roman" w:eastAsia="宋体" w:cs="Times New Roman"/>
                      <w:color w:val="0000FF"/>
                      <w:sz w:val="21"/>
                      <w:szCs w:val="21"/>
                    </w:rPr>
                    <w:t>2015</w:t>
                  </w:r>
                  <w:r>
                    <w:rPr>
                      <w:rFonts w:hint="eastAsia" w:cs="Times New Roman"/>
                      <w:color w:val="0000FF"/>
                      <w:sz w:val="21"/>
                      <w:szCs w:val="21"/>
                      <w:lang w:eastAsia="zh-CN"/>
                    </w:rPr>
                    <w:t>〕</w:t>
                  </w:r>
                  <w:r>
                    <w:rPr>
                      <w:rFonts w:hint="default" w:ascii="Times New Roman" w:hAnsi="Times New Roman" w:eastAsia="宋体" w:cs="Times New Roman"/>
                      <w:color w:val="0000FF"/>
                      <w:sz w:val="21"/>
                      <w:szCs w:val="21"/>
                    </w:rPr>
                    <w:t>17号）</w:t>
                  </w: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取缔“十小”企业。全面排查装备水平低、环保设施差的小型工业企业。2016年底前，按照水污染防治法律法规要求，全部取缔不符合国家产业政策的小型造纸、制革、印染、染料、炼焦、炼硫、炼</w:t>
                  </w:r>
                  <w:r>
                    <w:rPr>
                      <w:rFonts w:hint="default" w:ascii="Times New Roman" w:hAnsi="Times New Roman" w:eastAsia="宋体" w:cs="Times New Roman"/>
                      <w:color w:val="0000FF"/>
                      <w:sz w:val="21"/>
                      <w:szCs w:val="21"/>
                    </w:rPr>
                    <w:fldChar w:fldCharType="begin"/>
                  </w:r>
                  <w:r>
                    <w:rPr>
                      <w:rFonts w:hint="default" w:ascii="Times New Roman" w:hAnsi="Times New Roman" w:eastAsia="宋体" w:cs="Times New Roman"/>
                      <w:color w:val="0000FF"/>
                      <w:sz w:val="21"/>
                      <w:szCs w:val="21"/>
                    </w:rPr>
                    <w:instrText xml:space="preserve"> HYPERLINK "http://www.yuwenmi.com/zi/13814.html" \t "_blank" </w:instrText>
                  </w:r>
                  <w:r>
                    <w:rPr>
                      <w:rFonts w:hint="default" w:ascii="Times New Roman" w:hAnsi="Times New Roman" w:eastAsia="宋体" w:cs="Times New Roman"/>
                      <w:color w:val="0000FF"/>
                      <w:sz w:val="21"/>
                      <w:szCs w:val="21"/>
                    </w:rPr>
                    <w:fldChar w:fldCharType="separate"/>
                  </w:r>
                  <w:r>
                    <w:rPr>
                      <w:rFonts w:hint="default" w:ascii="Times New Roman" w:hAnsi="Times New Roman" w:eastAsia="宋体" w:cs="Times New Roman"/>
                      <w:color w:val="0000FF"/>
                      <w:sz w:val="21"/>
                      <w:szCs w:val="21"/>
                    </w:rPr>
                    <w:t>砷</w:t>
                  </w:r>
                  <w:r>
                    <w:rPr>
                      <w:rFonts w:hint="default" w:ascii="Times New Roman" w:hAnsi="Times New Roman" w:eastAsia="宋体" w:cs="Times New Roman"/>
                      <w:color w:val="0000FF"/>
                      <w:sz w:val="21"/>
                      <w:szCs w:val="21"/>
                    </w:rPr>
                    <w:fldChar w:fldCharType="end"/>
                  </w:r>
                  <w:r>
                    <w:rPr>
                      <w:rFonts w:hint="default" w:ascii="Times New Roman" w:hAnsi="Times New Roman" w:eastAsia="宋体" w:cs="Times New Roman"/>
                      <w:color w:val="0000FF"/>
                      <w:sz w:val="21"/>
                      <w:szCs w:val="21"/>
                    </w:rPr>
                    <w:t>、炼油、电镀、农药等严重污染水环境的生产项目。</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不属于“十小”企业</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依法淘汰落后产能。严格环境准入。</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符合产业政策要求及重庆市工业项目环境准入规定</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严格控制缺水地区、水污染严重地区和敏感区域高耗水、高污染行业发展。七大重点流域干流沿岸，要严格控制石油加工、化学原料和化学制品制造、医药制造、化学纤维制造、有色金属冶炼、纺织印染等项目环境风险，合理布局生产装置及危险化学品仓储等设施。推动污染企业退出。城市建成区内现有钢铁、有色金属、造纸、印染、原料药制造、化工等污染较重的企业应有序搬迁改造或依法关闭。</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不属于高污染行业，不属于十条中严格控制或限制类项目</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控制用水总量。新建、改建、扩建项目用水要达到行业先进水平。</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用水达到国内行业先进水平</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restart"/>
                  <w:tcBorders>
                    <w:top w:val="single" w:color="000000" w:sz="4" w:space="0"/>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《土壤污染防治行动计划》（国发</w:t>
                  </w:r>
                  <w:r>
                    <w:rPr>
                      <w:rFonts w:hint="eastAsia" w:cs="Times New Roman"/>
                      <w:color w:val="0000FF"/>
                      <w:sz w:val="21"/>
                      <w:szCs w:val="21"/>
                      <w:lang w:eastAsia="zh-CN"/>
                    </w:rPr>
                    <w:t>〔</w:t>
                  </w:r>
                  <w:r>
                    <w:rPr>
                      <w:rFonts w:hint="default" w:ascii="Times New Roman" w:hAnsi="Times New Roman" w:eastAsia="宋体" w:cs="Times New Roman"/>
                      <w:color w:val="0000FF"/>
                      <w:sz w:val="21"/>
                      <w:szCs w:val="21"/>
                    </w:rPr>
                    <w:t>2016</w:t>
                  </w:r>
                  <w:r>
                    <w:rPr>
                      <w:rFonts w:hint="eastAsia" w:cs="Times New Roman"/>
                      <w:color w:val="0000FF"/>
                      <w:sz w:val="21"/>
                      <w:szCs w:val="21"/>
                      <w:lang w:eastAsia="zh-CN"/>
                    </w:rPr>
                    <w:t>〕</w:t>
                  </w:r>
                  <w:r>
                    <w:rPr>
                      <w:rFonts w:hint="default" w:ascii="Times New Roman" w:hAnsi="Times New Roman" w:eastAsia="宋体" w:cs="Times New Roman"/>
                      <w:color w:val="0000FF"/>
                      <w:sz w:val="21"/>
                      <w:szCs w:val="21"/>
                    </w:rPr>
                    <w:t>31号）</w:t>
                  </w: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自2017年起，对拟收回土地使用权的有色金属冶炼、石油加工、化工、焦化、电镀、制革等行业企业用地，以及用途拟变更为居住和商业、学校、医疗、养老机构等公共设施的上述企业用地，由土地使用权人负责开展土壤环境状况调查评估</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所在厂区用地性质为工业用地</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排放重点污染物的建设项目，在开展环境影响评价时，要增加对土壤环境影响的评价内容，并提出防范土壤污染的具体措施；需要建设的土壤污染防治设施，要与主体工程同时设计、同时施工、同时投产使用</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不涉及重点污染物的排放</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严格执行相关行业企业布局选址要求，禁止在居民区、学校、医疗和养老机构等周边新建有色金属冶炼、焦化等行业企业</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rPr>
                    <w:t>项目不属于</w:t>
                  </w:r>
                  <w:r>
                    <w:rPr>
                      <w:rFonts w:hint="default" w:ascii="Times New Roman" w:hAnsi="Times New Roman" w:eastAsia="宋体" w:cs="Times New Roman"/>
                      <w:color w:val="0000FF"/>
                      <w:sz w:val="21"/>
                      <w:szCs w:val="21"/>
                      <w:lang w:val="en-US" w:eastAsia="zh-CN"/>
                    </w:rPr>
                    <w:t>前述行业企业</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加强电器电子、汽车等工业产品中有害物质控制。有色金属冶炼、石油加工、化工、焦化、电镀、制革等行业企业拆除生产设施设备、构筑物和污染治理设施，要事先制定残留污染物清理和安全处置方案，并报所在地县级环境保护、工业和信息化部门备案；要严格按照有关规定实施安全处理处置，防范拆除活动污染土壤。</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不</w:t>
                  </w:r>
                  <w:r>
                    <w:rPr>
                      <w:rFonts w:hint="default" w:ascii="Times New Roman" w:hAnsi="Times New Roman" w:eastAsia="宋体" w:cs="Times New Roman"/>
                      <w:color w:val="0000FF"/>
                      <w:sz w:val="21"/>
                      <w:szCs w:val="21"/>
                      <w:lang w:val="en-US" w:eastAsia="zh-CN"/>
                    </w:rPr>
                    <w:t>属于前述行业企业</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继续淘汰涉重金属重点行业落后产能，完善重金属相关行业准入条件，禁止新建落后产能或产能严重过剩行业的建设项目</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eastAsia" w:eastAsia="宋体"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w:t>
                  </w:r>
                  <w:r>
                    <w:rPr>
                      <w:rFonts w:hint="default" w:ascii="Times New Roman" w:hAnsi="Times New Roman" w:eastAsia="宋体" w:cs="Times New Roman"/>
                      <w:color w:val="0000FF"/>
                      <w:sz w:val="21"/>
                      <w:szCs w:val="21"/>
                    </w:rPr>
                    <w:t>不属于涉重企业</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restart"/>
                  <w:tcBorders>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eastAsia="zh-CN"/>
                    </w:rPr>
                    <w:t>地下水污染防治实施方案</w:t>
                  </w: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落实《水十条》任务。持续开展调查评估。继续推进城镇集中式地下水型饮用水源补给区、化工企业、加油站、垃圾填埋场和危险废物处置场等区域周边地下水基础环境状况调查。针对存在人为污染的地下水，开展详细调查，评估其污染趋势和健康风险，若风险不可接受，应开展地下水污染修复（防控）工作</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eastAsia="zh-CN"/>
                    </w:rPr>
                    <w:t>拟建项目不属于前述项目</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开展防渗改造。加快推进完成加油站埋地油罐双层罐更新或防 渗池设置，加油站防渗改造核查标准见附件2。2020年年底前，各省（区、市）对高风险的化学品生产企业以及工业集聚区、矿山开采区、尾矿库、危险废物处置场、垃圾填埋场等区域开展必要的防渗处理</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eastAsia="zh-CN"/>
                    </w:rPr>
                    <w:t>拟建项目不属于加油站、</w:t>
                  </w:r>
                  <w:r>
                    <w:rPr>
                      <w:rFonts w:hint="default" w:ascii="Times New Roman" w:hAnsi="Times New Roman" w:eastAsia="宋体" w:cs="Times New Roman"/>
                      <w:color w:val="0000FF"/>
                      <w:sz w:val="21"/>
                      <w:szCs w:val="21"/>
                    </w:rPr>
                    <w:t>高风险的化学品生产企业</w:t>
                  </w:r>
                  <w:r>
                    <w:rPr>
                      <w:rFonts w:hint="default" w:ascii="Times New Roman" w:hAnsi="Times New Roman" w:eastAsia="宋体" w:cs="Times New Roman"/>
                      <w:color w:val="0000FF"/>
                      <w:sz w:val="21"/>
                      <w:szCs w:val="21"/>
                      <w:lang w:eastAsia="zh-CN"/>
                    </w:rPr>
                    <w:t>等</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rPr>
              <w:tc>
                <w:tcPr>
                  <w:tcW w:w="858" w:type="dxa"/>
                  <w:vMerge w:val="continue"/>
                  <w:tcBorders>
                    <w:left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rPr>
                  </w:pPr>
                </w:p>
              </w:tc>
              <w:tc>
                <w:tcPr>
                  <w:tcW w:w="432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实施报废矿井、钻井、取水井封井回填。2019年，开展报废矿井、钻井、取水井排查登记。2020年，推进封井回填工作。矿 井、钻井、取水井因报废、未建成或者完成勘探、试验任务的，各地督促工程所有权人按照相关技术标准开展封井回填。对已经造成地下水串层污染的，各地督促工程所有权人对造成的地下水污染进行治理和修复</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eastAsia="zh-CN"/>
                    </w:rPr>
                    <w:t>拟建项目</w:t>
                  </w:r>
                  <w:r>
                    <w:rPr>
                      <w:rFonts w:hint="default" w:ascii="Times New Roman" w:hAnsi="Times New Roman" w:eastAsia="宋体" w:cs="Times New Roman"/>
                      <w:color w:val="0000FF"/>
                      <w:sz w:val="21"/>
                      <w:szCs w:val="21"/>
                    </w:rPr>
                    <w:t>不属于废矿井、钻井、取水</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符合</w:t>
                  </w:r>
                </w:p>
              </w:tc>
            </w:tr>
          </w:tbl>
          <w:p>
            <w:pPr>
              <w:spacing w:line="360" w:lineRule="auto"/>
              <w:ind w:firstLine="420" w:firstLineChars="200"/>
              <w:rPr>
                <w:rFonts w:hint="default" w:ascii="Times New Roman" w:hAnsi="Times New Roman" w:eastAsia="宋体" w:cs="Times New Roman"/>
                <w:color w:val="0000FF"/>
                <w:kern w:val="0"/>
                <w:szCs w:val="21"/>
                <w:lang w:val="en-US" w:eastAsia="zh-CN"/>
              </w:rPr>
            </w:pPr>
            <w:r>
              <w:rPr>
                <w:rFonts w:hint="eastAsia" w:ascii="Times New Roman" w:hAnsi="Times New Roman" w:eastAsia="宋体" w:cs="Times New Roman"/>
                <w:color w:val="0000FF"/>
                <w:kern w:val="0"/>
                <w:szCs w:val="21"/>
                <w:lang w:val="en-US" w:eastAsia="zh-CN"/>
              </w:rPr>
              <w:t>拟建</w:t>
            </w:r>
            <w:r>
              <w:rPr>
                <w:rFonts w:hint="default" w:ascii="Times New Roman" w:hAnsi="Times New Roman" w:eastAsia="宋体" w:cs="Times New Roman"/>
                <w:color w:val="0000FF"/>
                <w:kern w:val="0"/>
                <w:szCs w:val="21"/>
                <w:lang w:val="en-US" w:eastAsia="zh-CN"/>
              </w:rPr>
              <w:t>项目不涉及水十条、气十条、土十条</w:t>
            </w:r>
            <w:r>
              <w:rPr>
                <w:rFonts w:hint="eastAsia" w:ascii="Times New Roman" w:hAnsi="Times New Roman" w:eastAsia="宋体" w:cs="Times New Roman"/>
                <w:color w:val="0000FF"/>
                <w:kern w:val="0"/>
                <w:szCs w:val="21"/>
                <w:lang w:val="en-US" w:eastAsia="zh-CN"/>
              </w:rPr>
              <w:t>及地下水污染防治实施方案</w:t>
            </w:r>
            <w:r>
              <w:rPr>
                <w:rFonts w:hint="default" w:ascii="Times New Roman" w:hAnsi="Times New Roman" w:eastAsia="宋体" w:cs="Times New Roman"/>
                <w:color w:val="0000FF"/>
                <w:kern w:val="0"/>
                <w:szCs w:val="21"/>
                <w:lang w:val="en-US" w:eastAsia="zh-CN"/>
              </w:rPr>
              <w:t>中各个限制条件，因此符合水十条、气十条、土十条</w:t>
            </w:r>
            <w:r>
              <w:rPr>
                <w:rFonts w:hint="eastAsia" w:ascii="Times New Roman" w:hAnsi="Times New Roman" w:eastAsia="宋体" w:cs="Times New Roman"/>
                <w:color w:val="0000FF"/>
                <w:kern w:val="0"/>
                <w:szCs w:val="21"/>
                <w:lang w:val="en-US" w:eastAsia="zh-CN"/>
              </w:rPr>
              <w:t>及地下水污染防治实施方案</w:t>
            </w:r>
            <w:r>
              <w:rPr>
                <w:rFonts w:hint="default" w:ascii="Times New Roman" w:hAnsi="Times New Roman" w:eastAsia="宋体" w:cs="Times New Roman"/>
                <w:color w:val="0000FF"/>
                <w:kern w:val="0"/>
                <w:szCs w:val="21"/>
                <w:lang w:val="en-US" w:eastAsia="zh-CN"/>
              </w:rPr>
              <w:t>相关规定。</w:t>
            </w:r>
          </w:p>
          <w:p>
            <w:pPr>
              <w:pStyle w:val="46"/>
              <w:numPr>
                <w:ilvl w:val="0"/>
                <w:numId w:val="0"/>
              </w:numPr>
              <w:bidi w:val="0"/>
              <w:ind w:leftChars="0"/>
              <w:rPr>
                <w:rFonts w:hint="default" w:ascii="Times New Roman" w:hAnsi="Times New Roman" w:cs="Times New Roman"/>
                <w:color w:val="auto"/>
                <w:lang w:val="en-US" w:eastAsia="zh-CN"/>
              </w:rPr>
            </w:pPr>
            <w:r>
              <w:rPr>
                <w:rFonts w:hint="eastAsia" w:cs="Times New Roman"/>
                <w:color w:val="auto"/>
                <w:lang w:val="en-US" w:eastAsia="zh-CN"/>
              </w:rPr>
              <w:t>5</w:t>
            </w:r>
            <w:r>
              <w:rPr>
                <w:rFonts w:hint="default" w:ascii="Times New Roman" w:hAnsi="Times New Roman" w:cs="Times New Roman"/>
                <w:color w:val="auto"/>
                <w:lang w:val="en-US" w:eastAsia="zh-CN"/>
              </w:rPr>
              <w:t>.“三线一单”</w:t>
            </w:r>
            <w:r>
              <w:rPr>
                <w:rFonts w:hint="default" w:ascii="Times New Roman" w:hAnsi="Times New Roman" w:eastAsia="宋体" w:cs="Times New Roman"/>
                <w:b/>
                <w:bCs/>
                <w:kern w:val="0"/>
                <w:szCs w:val="21"/>
                <w:lang w:val="en-US" w:eastAsia="zh-CN"/>
              </w:rPr>
              <w:t>管控要求</w:t>
            </w:r>
            <w:r>
              <w:rPr>
                <w:rFonts w:hint="default" w:ascii="Times New Roman" w:hAnsi="Times New Roman" w:cs="Times New Roman"/>
                <w:color w:val="auto"/>
                <w:lang w:val="en-US" w:eastAsia="zh-CN"/>
              </w:rPr>
              <w:t>符合性分析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kern w:val="0"/>
                <w:szCs w:val="21"/>
                <w:lang w:val="en-US" w:eastAsia="zh-CN"/>
              </w:rPr>
            </w:pPr>
            <w:bookmarkStart w:id="3" w:name="_Toc20648"/>
            <w:r>
              <w:rPr>
                <w:rFonts w:hint="default" w:ascii="Times New Roman" w:hAnsi="Times New Roman" w:eastAsia="宋体" w:cs="Times New Roman"/>
                <w:kern w:val="0"/>
                <w:szCs w:val="21"/>
                <w:lang w:val="en-US" w:eastAsia="zh-CN"/>
              </w:rPr>
              <w:t>（1）与《重庆市人民政府关于落实生态保护红线、环境质量底线、资源利用上线制定生态环境准入清单实施生态环境分区管控的实施意见》（渝府发</w:t>
            </w:r>
            <w:r>
              <w:rPr>
                <w:rFonts w:hint="eastAsia" w:cs="Times New Roman"/>
                <w:kern w:val="0"/>
                <w:szCs w:val="21"/>
                <w:lang w:val="en-US" w:eastAsia="zh-CN"/>
              </w:rPr>
              <w:t>〔</w:t>
            </w:r>
            <w:r>
              <w:rPr>
                <w:rFonts w:hint="default" w:ascii="Times New Roman" w:hAnsi="Times New Roman" w:eastAsia="宋体" w:cs="Times New Roman"/>
                <w:kern w:val="0"/>
                <w:szCs w:val="21"/>
                <w:lang w:val="en-US" w:eastAsia="zh-CN"/>
              </w:rPr>
              <w:t>2020</w:t>
            </w:r>
            <w:r>
              <w:rPr>
                <w:rFonts w:hint="eastAsia" w:cs="Times New Roman"/>
                <w:kern w:val="0"/>
                <w:szCs w:val="21"/>
                <w:lang w:val="en-US" w:eastAsia="zh-CN"/>
              </w:rPr>
              <w:t>〕</w:t>
            </w:r>
            <w:r>
              <w:rPr>
                <w:rFonts w:hint="default" w:ascii="Times New Roman" w:hAnsi="Times New Roman" w:eastAsia="宋体" w:cs="Times New Roman"/>
                <w:kern w:val="0"/>
                <w:szCs w:val="21"/>
                <w:lang w:val="en-US" w:eastAsia="zh-CN"/>
              </w:rPr>
              <w:t>11号）的符合性分析</w:t>
            </w:r>
            <w:bookmarkEnd w:id="3"/>
          </w:p>
          <w:p>
            <w:pPr>
              <w:spacing w:line="360" w:lineRule="auto"/>
              <w:ind w:firstLine="420" w:firstLineChars="200"/>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根据《重庆市人民政府关于落实生态保护红线、环境质量底线、资源利用上线制定生态环境准入清单实施生态环境分区管控的实施意见》（渝府发</w:t>
            </w:r>
            <w:r>
              <w:rPr>
                <w:rFonts w:hint="eastAsia" w:cs="Times New Roman"/>
                <w:kern w:val="0"/>
                <w:szCs w:val="21"/>
                <w:lang w:val="en-US" w:eastAsia="zh-CN"/>
              </w:rPr>
              <w:t>〔</w:t>
            </w:r>
            <w:r>
              <w:rPr>
                <w:rFonts w:hint="default" w:ascii="Times New Roman" w:hAnsi="Times New Roman" w:eastAsia="宋体" w:cs="Times New Roman"/>
                <w:kern w:val="0"/>
                <w:szCs w:val="21"/>
                <w:lang w:val="en-US" w:eastAsia="zh-CN"/>
              </w:rPr>
              <w:t>2020</w:t>
            </w:r>
            <w:r>
              <w:rPr>
                <w:rFonts w:hint="eastAsia" w:cs="Times New Roman"/>
                <w:kern w:val="0"/>
                <w:szCs w:val="21"/>
                <w:lang w:val="en-US" w:eastAsia="zh-CN"/>
              </w:rPr>
              <w:t>〕</w:t>
            </w:r>
            <w:r>
              <w:rPr>
                <w:rFonts w:hint="default" w:ascii="Times New Roman" w:hAnsi="Times New Roman" w:eastAsia="宋体" w:cs="Times New Roman"/>
                <w:kern w:val="0"/>
                <w:szCs w:val="21"/>
                <w:lang w:val="en-US" w:eastAsia="zh-CN"/>
              </w:rPr>
              <w:t>11号）的要求，优先保护单元依法禁止或限制大规模、高强度的工业和城镇建设，在功能受损的优先保护单元优先开展生态保护修复活动，恢复生态系统服务功能。重点管控单元优化空间布局，不断提升资源利用效率，有针对性地加强污染物排放控制和环境风险防控，解决生态环境质量不达标、生态环境风险高等问题。一般管控单元主要落实生态环境保护基本要求。</w:t>
            </w:r>
          </w:p>
          <w:p>
            <w:pPr>
              <w:spacing w:line="360" w:lineRule="auto"/>
              <w:ind w:firstLine="420" w:firstLineChars="200"/>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拟建项目属于污染影响类建设项目，位于重庆市大足区双桥工业园区，属于重点管控单元，不涉及生态保护红线，拟建项目建设及营运期严格落实各项生态环境保护措施后对环境影响小，因此符合《重庆市人民政府关于落实生态保护红线、环境质量底线、资源利用上线制定生态环境准入清单实施生态环境分区管控的实施意见》（渝府发</w:t>
            </w:r>
            <w:r>
              <w:rPr>
                <w:rFonts w:hint="eastAsia" w:cs="Times New Roman"/>
                <w:kern w:val="0"/>
                <w:szCs w:val="21"/>
                <w:lang w:val="en-US" w:eastAsia="zh-CN"/>
              </w:rPr>
              <w:t>〔</w:t>
            </w:r>
            <w:r>
              <w:rPr>
                <w:rFonts w:hint="default" w:ascii="Times New Roman" w:hAnsi="Times New Roman" w:eastAsia="宋体" w:cs="Times New Roman"/>
                <w:kern w:val="0"/>
                <w:szCs w:val="21"/>
                <w:lang w:val="en-US" w:eastAsia="zh-CN"/>
              </w:rPr>
              <w:t>2020</w:t>
            </w:r>
            <w:r>
              <w:rPr>
                <w:rFonts w:hint="eastAsia" w:cs="Times New Roman"/>
                <w:kern w:val="0"/>
                <w:szCs w:val="21"/>
                <w:lang w:val="en-US" w:eastAsia="zh-CN"/>
              </w:rPr>
              <w:t>〕</w:t>
            </w:r>
            <w:r>
              <w:rPr>
                <w:rFonts w:hint="default" w:ascii="Times New Roman" w:hAnsi="Times New Roman" w:eastAsia="宋体" w:cs="Times New Roman"/>
                <w:kern w:val="0"/>
                <w:szCs w:val="21"/>
                <w:lang w:val="en-US" w:eastAsia="zh-CN"/>
              </w:rPr>
              <w:t>11号）的相关要求。</w:t>
            </w:r>
          </w:p>
          <w:p>
            <w:pPr>
              <w:spacing w:line="360" w:lineRule="auto"/>
              <w:ind w:firstLine="420" w:firstLineChars="200"/>
              <w:rPr>
                <w:rFonts w:hint="default" w:ascii="Times New Roman" w:hAnsi="Times New Roman" w:cs="Times New Roman"/>
                <w:color w:val="auto"/>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lang w:eastAsia="zh-CN"/>
              </w:rPr>
              <w:t>）</w:t>
            </w:r>
            <w:r>
              <w:rPr>
                <w:rFonts w:hint="default" w:ascii="Times New Roman" w:hAnsi="Times New Roman" w:cs="Times New Roman"/>
                <w:color w:val="auto"/>
                <w:lang w:val="en-US" w:eastAsia="zh-CN"/>
              </w:rPr>
              <w:t>与《重庆市大足区人民政府关于落实生态保护红线、环境质量底线、资源利用上线制定生态环境准入清单实施生态环境分区管控的实施意见》（大足府发</w:t>
            </w:r>
            <w:r>
              <w:rPr>
                <w:rFonts w:hint="eastAsia" w:cs="Times New Roman"/>
                <w:color w:val="auto"/>
                <w:lang w:val="en-US" w:eastAsia="zh-CN"/>
              </w:rPr>
              <w:t>〔</w:t>
            </w:r>
            <w:r>
              <w:rPr>
                <w:rFonts w:hint="default" w:ascii="Times New Roman" w:hAnsi="Times New Roman" w:cs="Times New Roman"/>
                <w:color w:val="auto"/>
                <w:lang w:val="en-US" w:eastAsia="zh-CN"/>
              </w:rPr>
              <w:t>2020</w:t>
            </w:r>
            <w:r>
              <w:rPr>
                <w:rFonts w:hint="eastAsia" w:cs="Times New Roman"/>
                <w:color w:val="auto"/>
                <w:lang w:val="en-US" w:eastAsia="zh-CN"/>
              </w:rPr>
              <w:t>〕</w:t>
            </w:r>
            <w:r>
              <w:rPr>
                <w:rFonts w:hint="default" w:ascii="Times New Roman" w:hAnsi="Times New Roman" w:cs="Times New Roman"/>
                <w:color w:val="auto"/>
                <w:lang w:val="en-US" w:eastAsia="zh-CN"/>
              </w:rPr>
              <w:t>39号）符合性分析</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根据《重庆市大足区人民政府关于落实生态保护红线、环境质量底线、资源利用上线制定生态环境准入清单实施生态环境分区管控的实施意见》（大足府发</w:t>
            </w:r>
            <w:r>
              <w:rPr>
                <w:rFonts w:hint="eastAsia" w:cs="Times New Roman"/>
                <w:color w:val="auto"/>
                <w:lang w:val="en-US" w:eastAsia="zh-CN"/>
              </w:rPr>
              <w:t>〔</w:t>
            </w:r>
            <w:r>
              <w:rPr>
                <w:rFonts w:hint="default" w:ascii="Times New Roman" w:hAnsi="Times New Roman" w:cs="Times New Roman"/>
                <w:color w:val="auto"/>
                <w:lang w:val="en-US" w:eastAsia="zh-CN"/>
              </w:rPr>
              <w:t>2020</w:t>
            </w:r>
            <w:r>
              <w:rPr>
                <w:rFonts w:hint="eastAsia" w:cs="Times New Roman"/>
                <w:color w:val="auto"/>
                <w:lang w:val="en-US" w:eastAsia="zh-CN"/>
              </w:rPr>
              <w:t>〕</w:t>
            </w:r>
            <w:r>
              <w:rPr>
                <w:rFonts w:hint="default" w:ascii="Times New Roman" w:hAnsi="Times New Roman" w:cs="Times New Roman"/>
                <w:color w:val="auto"/>
                <w:lang w:val="en-US" w:eastAsia="zh-CN"/>
              </w:rPr>
              <w:t>39号），大足区环境管控单元包括优先保护单元、重点管控单元、一般管控单元三类。拟建项目与大足区“三线一单”实施意见的符合性分析见下表1-</w:t>
            </w:r>
            <w:r>
              <w:rPr>
                <w:rFonts w:hint="eastAsia" w:cs="Times New Roman"/>
                <w:color w:val="auto"/>
                <w:lang w:val="en-US" w:eastAsia="zh-CN"/>
              </w:rPr>
              <w:t>6</w:t>
            </w:r>
            <w:r>
              <w:rPr>
                <w:rFonts w:hint="default" w:ascii="Times New Roman" w:hAnsi="Times New Roman" w:cs="Times New Roman"/>
                <w:color w:val="auto"/>
                <w:lang w:val="en-US" w:eastAsia="zh-CN"/>
              </w:rPr>
              <w:t>。</w:t>
            </w: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表1-</w:t>
            </w:r>
            <w:r>
              <w:rPr>
                <w:rFonts w:hint="eastAsia" w:cs="Times New Roman"/>
                <w:color w:val="auto"/>
                <w:lang w:val="en-US" w:eastAsia="zh-CN"/>
              </w:rPr>
              <w:t>6</w:t>
            </w:r>
            <w:r>
              <w:rPr>
                <w:rFonts w:hint="default" w:ascii="Times New Roman" w:hAnsi="Times New Roman" w:cs="Times New Roman"/>
                <w:color w:val="auto"/>
                <w:lang w:val="en-US" w:eastAsia="zh-CN"/>
              </w:rPr>
              <w:t xml:space="preserve">  与大足区“三线一单”实施意见符合性分析</w:t>
            </w:r>
            <w:r>
              <w:rPr>
                <w:rFonts w:hint="eastAsia" w:cs="Times New Roman"/>
                <w:color w:val="auto"/>
                <w:lang w:val="en-US" w:eastAsia="zh-CN"/>
              </w:rPr>
              <w:t>表</w:t>
            </w:r>
          </w:p>
          <w:tbl>
            <w:tblPr>
              <w:tblStyle w:val="20"/>
              <w:tblW w:w="49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8"/>
              <w:gridCol w:w="1974"/>
              <w:gridCol w:w="4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01"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实施意见要求</w:t>
                  </w:r>
                </w:p>
              </w:tc>
              <w:tc>
                <w:tcPr>
                  <w:tcW w:w="1974" w:type="dxa"/>
                  <w:tcBorders>
                    <w:tl2br w:val="nil"/>
                    <w:tr2bl w:val="nil"/>
                  </w:tcBorders>
                  <w:vAlign w:val="center"/>
                </w:tcPr>
                <w:p>
                  <w:pPr>
                    <w:pStyle w:val="45"/>
                    <w:bidi w:val="0"/>
                    <w:ind w:firstLine="0" w:firstLineChars="0"/>
                    <w:jc w:val="both"/>
                    <w:rPr>
                      <w:rFonts w:hint="default" w:ascii="Times New Roman" w:hAnsi="Times New Roman" w:cs="Times New Roman" w:eastAsiaTheme="minorEastAsia"/>
                      <w:kern w:val="0"/>
                      <w:sz w:val="21"/>
                      <w:szCs w:val="21"/>
                      <w:lang w:val="en-US" w:eastAsia="zh-CN" w:bidi="ar-SA"/>
                    </w:rPr>
                  </w:pPr>
                  <w:r>
                    <w:rPr>
                      <w:rFonts w:hint="eastAsia" w:cs="Times New Roman"/>
                      <w:color w:val="auto"/>
                      <w:sz w:val="21"/>
                      <w:szCs w:val="21"/>
                      <w:lang w:val="en-US" w:eastAsia="zh-CN"/>
                    </w:rPr>
                    <w:t>符合性分析</w:t>
                  </w:r>
                </w:p>
              </w:tc>
              <w:tc>
                <w:tcPr>
                  <w:tcW w:w="492" w:type="dxa"/>
                  <w:tcBorders>
                    <w:tl2br w:val="nil"/>
                    <w:tr2bl w:val="nil"/>
                  </w:tcBorders>
                  <w:vAlign w:val="center"/>
                </w:tcPr>
                <w:p>
                  <w:pPr>
                    <w:pStyle w:val="45"/>
                    <w:bidi w:val="0"/>
                    <w:ind w:firstLine="0" w:firstLineChars="0"/>
                    <w:jc w:val="both"/>
                    <w:rPr>
                      <w:rFonts w:hint="default" w:ascii="Times New Roman" w:hAnsi="Times New Roman" w:cs="Times New Roman" w:eastAsiaTheme="minorEastAsia"/>
                      <w:kern w:val="0"/>
                      <w:sz w:val="21"/>
                      <w:szCs w:val="21"/>
                      <w:lang w:val="en-US" w:eastAsia="zh-CN" w:bidi="ar-SA"/>
                    </w:rPr>
                  </w:pPr>
                  <w:r>
                    <w:rPr>
                      <w:rFonts w:hint="eastAsia" w:cs="Times New Roman"/>
                      <w:color w:val="auto"/>
                      <w:sz w:val="21"/>
                      <w:szCs w:val="21"/>
                      <w:lang w:val="en-US" w:eastAsia="zh-CN"/>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01"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优先保护单元依法禁止或限制大规模、高强度的工业和城镇建设，在功能受损的优先保护单元优先开展生态保护修复活动，恢复生态系统服务功能。重点管控单元优化空间布局，不断提升资源利用效率，有针对性地加强污染物排放控制和环境风险防控，解决生态环境质量不达标、生态环境风险高等问题。一般管控单元主要落实生态环境保护基本要求</w:t>
                  </w:r>
                </w:p>
              </w:tc>
              <w:tc>
                <w:tcPr>
                  <w:tcW w:w="1440"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拟建项目所在地属于大足区重点管控单元，运营期各污染物通过有效措施治理后可实现达标排放，对环境影响较小</w:t>
                  </w:r>
                </w:p>
              </w:tc>
              <w:tc>
                <w:tcPr>
                  <w:tcW w:w="358"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01"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区域资源开发、产业布局和结构调整、城镇建设、重大项目选址应将环境管控单元及生态环境准入清单作为重要依据，相关规划编制、产业政策制定应将“三线一单”要求作为重要依据，开展协调性分析，不断强化“三线一单”分区环境管控体系对国土空间规划、各专项规划的引导作用</w:t>
                  </w:r>
                </w:p>
              </w:tc>
              <w:tc>
                <w:tcPr>
                  <w:tcW w:w="1440"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拟建项目与所属管控单元对比分析，将其环境管控要求列为准予建设的重要依据</w:t>
                  </w:r>
                </w:p>
              </w:tc>
              <w:tc>
                <w:tcPr>
                  <w:tcW w:w="358"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01"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我区重点推进产业升级，优化工业区、商业区、居住区布局，优化水资源配置和排污口、取水口及饮用水水源地布局、推进生态保护及修复、强化污染物排放控制和环境风险防控</w:t>
                  </w:r>
                </w:p>
              </w:tc>
              <w:tc>
                <w:tcPr>
                  <w:tcW w:w="1440"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运营期项目严格执行环评中各污染物有效措施治理后可实现达标排放</w:t>
                  </w:r>
                </w:p>
              </w:tc>
              <w:tc>
                <w:tcPr>
                  <w:tcW w:w="358" w:type="pct"/>
                  <w:tcBorders>
                    <w:tl2br w:val="nil"/>
                    <w:tr2bl w:val="nil"/>
                  </w:tcBorders>
                  <w:vAlign w:val="center"/>
                </w:tcPr>
                <w:p>
                  <w:pPr>
                    <w:jc w:val="both"/>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eastAsiaTheme="minorEastAsia"/>
                      <w:kern w:val="0"/>
                      <w:sz w:val="21"/>
                      <w:szCs w:val="21"/>
                      <w:lang w:val="en-US" w:eastAsia="zh-CN" w:bidi="ar-SA"/>
                    </w:rPr>
                    <w:t>符合</w:t>
                  </w:r>
                </w:p>
              </w:tc>
            </w:tr>
          </w:tbl>
          <w:p>
            <w:pPr>
              <w:spacing w:line="360" w:lineRule="auto"/>
              <w:ind w:firstLine="42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（3）与《长江经济带战略环境评价重庆市生态环境准入清单（大足区）》符合性分析</w:t>
            </w:r>
          </w:p>
          <w:p>
            <w:pPr>
              <w:pStyle w:val="4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对照重庆市大足区“三线一单”，拟建项目所在区域属</w:t>
            </w:r>
            <w:r>
              <w:rPr>
                <w:rFonts w:hint="default" w:ascii="Times New Roman" w:hAnsi="Times New Roman" w:eastAsia="宋体" w:cs="Times New Roman"/>
                <w:color w:val="auto"/>
                <w:sz w:val="21"/>
                <w:szCs w:val="21"/>
              </w:rPr>
              <w:t>大足区重点管控单元-太平河漫水桥</w:t>
            </w:r>
            <w:r>
              <w:rPr>
                <w:rFonts w:hint="default" w:ascii="Times New Roman" w:hAnsi="Times New Roman" w:cs="Times New Roman"/>
                <w:color w:val="auto"/>
                <w:lang w:val="en-US" w:eastAsia="zh-CN"/>
              </w:rPr>
              <w:t>（环境管控单元编码：</w:t>
            </w:r>
            <w:r>
              <w:rPr>
                <w:rFonts w:hint="default" w:ascii="Times New Roman" w:hAnsi="Times New Roman" w:eastAsia="宋体" w:cs="Times New Roman"/>
                <w:color w:val="auto"/>
                <w:sz w:val="21"/>
                <w:szCs w:val="21"/>
              </w:rPr>
              <w:t>ZH50011120002</w:t>
            </w:r>
            <w:r>
              <w:rPr>
                <w:rFonts w:hint="default" w:ascii="Times New Roman" w:hAnsi="Times New Roman" w:cs="Times New Roman"/>
                <w:color w:val="auto"/>
                <w:lang w:val="en-US" w:eastAsia="zh-CN"/>
              </w:rPr>
              <w:t>），项目的建设应符合管控单元要求，符合性分析见下表1-</w:t>
            </w:r>
            <w:r>
              <w:rPr>
                <w:rFonts w:hint="eastAsia" w:cs="Times New Roman"/>
                <w:color w:val="auto"/>
                <w:lang w:val="en-US" w:eastAsia="zh-CN"/>
              </w:rPr>
              <w:t>7</w:t>
            </w:r>
            <w:r>
              <w:rPr>
                <w:rFonts w:hint="default" w:ascii="Times New Roman" w:hAnsi="Times New Roman" w:cs="Times New Roman"/>
                <w:color w:val="auto"/>
                <w:lang w:val="en-US" w:eastAsia="zh-CN"/>
              </w:rPr>
              <w:t>。</w:t>
            </w:r>
          </w:p>
          <w:p>
            <w:pPr>
              <w:pStyle w:val="44"/>
              <w:bidi w:val="0"/>
              <w:rPr>
                <w:rFonts w:hint="default" w:ascii="Times New Roman" w:hAnsi="Times New Roman" w:cs="Times New Roman"/>
                <w:color w:val="auto"/>
                <w:lang w:val="en-US" w:eastAsia="zh-CN"/>
              </w:rPr>
            </w:pPr>
          </w:p>
          <w:p>
            <w:pPr>
              <w:pStyle w:val="43"/>
              <w:bidi w:val="0"/>
              <w:ind w:left="0" w:leftChars="0" w:firstLine="0" w:firstLineChars="0"/>
              <w:rPr>
                <w:rFonts w:hint="default" w:ascii="Times New Roman" w:hAnsi="Times New Roman" w:cs="Times New Roman"/>
                <w:color w:val="auto"/>
                <w:lang w:val="en-US" w:eastAsia="zh-CN"/>
              </w:rPr>
            </w:pPr>
          </w:p>
        </w:tc>
      </w:tr>
    </w:tbl>
    <w:p>
      <w:pPr>
        <w:spacing w:line="360" w:lineRule="auto"/>
        <w:outlineLvl w:val="0"/>
        <w:rPr>
          <w:rFonts w:hint="default" w:ascii="Times New Roman" w:hAnsi="Times New Roman" w:eastAsia="黑体" w:cs="Times New Roman"/>
          <w:color w:val="auto"/>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7" w:type="dxa"/>
            <w:vAlign w:val="center"/>
          </w:tcPr>
          <w:p>
            <w:pPr>
              <w:pStyle w:val="45"/>
              <w:bidi w:val="0"/>
              <w:jc w:val="center"/>
              <w:rPr>
                <w:rFonts w:hint="default" w:ascii="Times New Roman" w:hAnsi="Times New Roman" w:cs="Times New Roman"/>
                <w:color w:val="auto"/>
              </w:rPr>
            </w:pPr>
          </w:p>
        </w:tc>
        <w:tc>
          <w:tcPr>
            <w:tcW w:w="11845" w:type="dxa"/>
            <w:vAlign w:val="center"/>
          </w:tcPr>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表1-</w:t>
            </w:r>
            <w:r>
              <w:rPr>
                <w:rFonts w:hint="eastAsia" w:cs="Times New Roman"/>
                <w:color w:val="auto"/>
                <w:lang w:val="en-US" w:eastAsia="zh-CN"/>
              </w:rPr>
              <w:t>7</w:t>
            </w:r>
            <w:r>
              <w:rPr>
                <w:rFonts w:hint="default" w:ascii="Times New Roman" w:hAnsi="Times New Roman" w:cs="Times New Roman"/>
                <w:color w:val="auto"/>
                <w:lang w:val="en-US" w:eastAsia="zh-CN"/>
              </w:rPr>
              <w:t xml:space="preserve">  与大足区重点管控单元-太平河玉滩水库管控要求符合性分析</w:t>
            </w:r>
            <w:r>
              <w:rPr>
                <w:rFonts w:hint="eastAsia" w:cs="Times New Roman"/>
                <w:color w:val="auto"/>
                <w:lang w:val="en-US" w:eastAsia="zh-CN"/>
              </w:rPr>
              <w:t>表</w:t>
            </w:r>
          </w:p>
          <w:tbl>
            <w:tblPr>
              <w:tblStyle w:val="20"/>
              <w:tblW w:w="4996"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68"/>
              <w:gridCol w:w="684"/>
              <w:gridCol w:w="891"/>
              <w:gridCol w:w="4984"/>
              <w:gridCol w:w="3078"/>
              <w:gridCol w:w="6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rPr>
                    <w:t>环境管控单元编码</w:t>
                  </w:r>
                </w:p>
              </w:tc>
              <w:tc>
                <w:tcPr>
                  <w:tcW w:w="287"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环境管控单元名称</w:t>
                  </w:r>
                </w:p>
              </w:tc>
              <w:tc>
                <w:tcPr>
                  <w:tcW w:w="294" w:type="pct"/>
                  <w:tcBorders>
                    <w:tl2br w:val="nil"/>
                    <w:tr2bl w:val="nil"/>
                  </w:tcBorders>
                  <w:vAlign w:val="center"/>
                </w:tcPr>
                <w:p>
                  <w:pPr>
                    <w:jc w:val="both"/>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环境管控单元分类</w:t>
                  </w:r>
                </w:p>
              </w:tc>
              <w:tc>
                <w:tcPr>
                  <w:tcW w:w="383"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rPr>
                    <w:t>管控类别</w:t>
                  </w:r>
                </w:p>
              </w:tc>
              <w:tc>
                <w:tcPr>
                  <w:tcW w:w="214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rPr>
                    <w:t>管控要求</w:t>
                  </w:r>
                </w:p>
              </w:tc>
              <w:tc>
                <w:tcPr>
                  <w:tcW w:w="132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zh-CN"/>
                    </w:rPr>
                    <w:t>符合性分析</w:t>
                  </w:r>
                </w:p>
              </w:tc>
              <w:tc>
                <w:tcPr>
                  <w:tcW w:w="281"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 w:type="pct"/>
                  <w:vMerge w:val="restar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ZH50011120002</w:t>
                  </w:r>
                </w:p>
              </w:tc>
              <w:tc>
                <w:tcPr>
                  <w:tcW w:w="287" w:type="pct"/>
                  <w:vMerge w:val="restar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大足区重点管控单元-太平河漫水桥</w:t>
                  </w:r>
                </w:p>
              </w:tc>
              <w:tc>
                <w:tcPr>
                  <w:tcW w:w="294" w:type="pct"/>
                  <w:vMerge w:val="restar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重点管控单元2</w:t>
                  </w:r>
                </w:p>
              </w:tc>
              <w:tc>
                <w:tcPr>
                  <w:tcW w:w="383"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空间布局约束</w:t>
                  </w:r>
                </w:p>
              </w:tc>
              <w:tc>
                <w:tcPr>
                  <w:tcW w:w="2144" w:type="pct"/>
                  <w:tcBorders>
                    <w:tl2br w:val="nil"/>
                    <w:tr2bl w:val="nil"/>
                  </w:tcBorders>
                  <w:vAlign w:val="center"/>
                </w:tcPr>
                <w:p>
                  <w:pPr>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1.双桥工业园区工业用地与居住用地之间设置绿化隔离带；艾诺斯电池等现有企业应严格管控环境防护距离。</w:t>
                  </w:r>
                </w:p>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2.邮亭工业园A区再生铅企业与环境敏感点应设置不小于1公里的环境防护距离；智伦电镀园区等企业严格管控环境防护距离。</w:t>
                  </w:r>
                </w:p>
              </w:tc>
              <w:tc>
                <w:tcPr>
                  <w:tcW w:w="132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拟建项目与居住用地距离较远</w:t>
                  </w:r>
                </w:p>
              </w:tc>
              <w:tc>
                <w:tcPr>
                  <w:tcW w:w="281"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287"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294"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383"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污染物排放管控</w:t>
                  </w:r>
                </w:p>
              </w:tc>
              <w:tc>
                <w:tcPr>
                  <w:tcW w:w="2144" w:type="pct"/>
                  <w:tcBorders>
                    <w:tl2br w:val="nil"/>
                    <w:tr2bl w:val="nil"/>
                  </w:tcBorders>
                  <w:vAlign w:val="center"/>
                </w:tcPr>
                <w:p>
                  <w:pPr>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1.在太平河流域水质达标前，新增总磷污染物的工业项目，须在区域内实行等量削减。</w:t>
                  </w:r>
                </w:p>
                <w:p>
                  <w:pPr>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2.太平河流域内新建城镇污水处理设施要执行一级A排放标准。包括邮亭镇污水处理厂在内的现有集中式污水处理设施应逐步进行提标改造，排水执行一级A排放标准。</w:t>
                  </w:r>
                </w:p>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3.加强对废气尤其是有毒及恶臭气体的收集和处理率。新建、改建、扩建涉VOCs排放的项目，要加强源头控制，使用低（无）VOCs含量的原辅料，加强废气收集，安装高效治理设施。鼓励推广使用符合环保要求的高固体分、水性涂料、粉末涂料、紫外光固化涂料。</w:t>
                  </w:r>
                </w:p>
              </w:tc>
              <w:tc>
                <w:tcPr>
                  <w:tcW w:w="1324" w:type="pct"/>
                  <w:tcBorders>
                    <w:tl2br w:val="nil"/>
                    <w:tr2bl w:val="nil"/>
                  </w:tcBorders>
                  <w:vAlign w:val="center"/>
                </w:tcPr>
                <w:p>
                  <w:pPr>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太平河流域水环境质量已达标，且拟建项目仅产生生活污水</w:t>
                  </w:r>
                  <w:r>
                    <w:rPr>
                      <w:rFonts w:hint="eastAsia" w:cs="Times New Roman" w:eastAsiaTheme="minorEastAsia"/>
                      <w:color w:val="0000FF"/>
                      <w:sz w:val="21"/>
                      <w:szCs w:val="21"/>
                      <w:lang w:eastAsia="zh-CN"/>
                    </w:rPr>
                    <w:t>；</w:t>
                  </w:r>
                </w:p>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拟建项目废气涉及少量挥发性有机物气体，采用局部抽风，并将收集的废气经治理设备有效处理后排放</w:t>
                  </w:r>
                </w:p>
              </w:tc>
              <w:tc>
                <w:tcPr>
                  <w:tcW w:w="281"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287"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294"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383"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环境风险防控</w:t>
                  </w:r>
                </w:p>
              </w:tc>
              <w:tc>
                <w:tcPr>
                  <w:tcW w:w="214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 区域内重金属污染防控地块3块：艾诺斯（重庆）华达电源系统有限公司、重庆德能再生资源股份有限公司、重庆智伦电镀有限公司，企业应严控重金属污染物排放，严格按排污自行监测规范要求，开展土壤环境现状监测，严格管控土壤环境风险。</w:t>
                  </w:r>
                </w:p>
              </w:tc>
              <w:tc>
                <w:tcPr>
                  <w:tcW w:w="132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拟建项目所在地块不属于前述地块，同时，</w:t>
                  </w:r>
                  <w:r>
                    <w:rPr>
                      <w:rFonts w:hint="default" w:ascii="Times New Roman" w:hAnsi="Times New Roman" w:cs="Times New Roman"/>
                      <w:color w:val="auto"/>
                      <w:sz w:val="21"/>
                      <w:szCs w:val="21"/>
                      <w:lang w:val="en-US" w:eastAsia="zh-CN"/>
                    </w:rPr>
                    <w:t>厂区进行分区防渗，并实施相关地下水及土壤等环境污染防控措施</w:t>
                  </w:r>
                </w:p>
              </w:tc>
              <w:tc>
                <w:tcPr>
                  <w:tcW w:w="281"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287"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294" w:type="pct"/>
                  <w:vMerge w:val="continue"/>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p>
              </w:tc>
              <w:tc>
                <w:tcPr>
                  <w:tcW w:w="383"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资源开发效率要求</w:t>
                  </w:r>
                </w:p>
              </w:tc>
              <w:tc>
                <w:tcPr>
                  <w:tcW w:w="214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1.龙滩子、双路、通桥街道辖区禁止新建使用煤、重油等为高污染燃料的工业项目。</w:t>
                  </w:r>
                </w:p>
              </w:tc>
              <w:tc>
                <w:tcPr>
                  <w:tcW w:w="1324"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拟建项目不涉及高污染燃料的使用</w:t>
                  </w:r>
                </w:p>
              </w:tc>
              <w:tc>
                <w:tcPr>
                  <w:tcW w:w="281" w:type="pct"/>
                  <w:tcBorders>
                    <w:tl2br w:val="nil"/>
                    <w:tr2bl w:val="nil"/>
                  </w:tcBorders>
                  <w:vAlign w:val="center"/>
                </w:tcPr>
                <w:p>
                  <w:pPr>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bl>
          <w:p>
            <w:pPr>
              <w:pStyle w:val="45"/>
              <w:bidi w:val="0"/>
              <w:jc w:val="both"/>
              <w:rPr>
                <w:rFonts w:hint="default" w:ascii="Times New Roman" w:hAnsi="Times New Roman" w:cs="Times New Roman"/>
                <w:color w:val="auto"/>
              </w:rPr>
            </w:pPr>
          </w:p>
        </w:tc>
      </w:tr>
    </w:tbl>
    <w:p>
      <w:pPr>
        <w:pStyle w:val="7"/>
        <w:rPr>
          <w:rFonts w:hint="default" w:ascii="Times New Roman" w:hAnsi="Times New Roman" w:cs="Times New Roman"/>
          <w:color w:val="auto"/>
        </w:rPr>
        <w:sectPr>
          <w:pgSz w:w="16838" w:h="11906" w:orient="landscape"/>
          <w:pgMar w:top="1531" w:right="1701" w:bottom="1531" w:left="1701" w:header="851" w:footer="1077" w:gutter="0"/>
          <w:pgBorders>
            <w:top w:val="none" w:sz="0" w:space="0"/>
            <w:left w:val="none" w:sz="0" w:space="0"/>
            <w:bottom w:val="none" w:sz="0" w:space="0"/>
            <w:right w:val="none" w:sz="0" w:space="0"/>
          </w:pgBorders>
          <w:pgNumType w:fmt="decimal"/>
          <w:cols w:space="720" w:num="1"/>
          <w:docGrid w:linePitch="312" w:charSpace="0"/>
        </w:sect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二、建设项目工程分析</w:t>
      </w:r>
    </w:p>
    <w:tbl>
      <w:tblPr>
        <w:tblStyle w:val="19"/>
        <w:tblW w:w="91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9"/>
        <w:gridCol w:w="8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noWrap w:val="0"/>
            <w:vAlign w:val="center"/>
          </w:tcPr>
          <w:p>
            <w:pPr>
              <w:pStyle w:val="16"/>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建设内容</w:t>
            </w:r>
          </w:p>
        </w:tc>
        <w:tc>
          <w:tcPr>
            <w:tcW w:w="8452" w:type="dxa"/>
            <w:noWrap w:val="0"/>
            <w:vAlign w:val="top"/>
          </w:tcPr>
          <w:p>
            <w:pPr>
              <w:pStyle w:val="46"/>
              <w:numPr>
                <w:ilvl w:val="0"/>
                <w:numId w:val="0"/>
              </w:numPr>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1.地理</w:t>
            </w:r>
            <w:r>
              <w:rPr>
                <w:rFonts w:hint="default" w:ascii="Times New Roman" w:hAnsi="Times New Roman" w:eastAsia="宋体" w:cs="Times New Roman"/>
                <w:b/>
                <w:bCs/>
                <w:kern w:val="0"/>
                <w:szCs w:val="21"/>
                <w:lang w:val="en-US" w:eastAsia="zh-CN"/>
              </w:rPr>
              <w:t>位置</w:t>
            </w:r>
          </w:p>
          <w:p>
            <w:pPr>
              <w:spacing w:line="360" w:lineRule="auto"/>
              <w:ind w:firstLine="420" w:firstLineChars="20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拟建</w:t>
            </w:r>
            <w:r>
              <w:rPr>
                <w:rFonts w:hint="default" w:ascii="Times New Roman" w:hAnsi="Times New Roman" w:eastAsia="宋体" w:cs="Times New Roman"/>
                <w:color w:val="000000"/>
                <w:sz w:val="21"/>
                <w:szCs w:val="21"/>
                <w:highlight w:val="none"/>
                <w:lang w:eastAsia="zh-CN"/>
              </w:rPr>
              <w:t>项目</w:t>
            </w:r>
            <w:r>
              <w:rPr>
                <w:rFonts w:hint="default" w:ascii="Times New Roman" w:hAnsi="Times New Roman" w:eastAsia="宋体" w:cs="Times New Roman"/>
                <w:color w:val="000000"/>
                <w:sz w:val="21"/>
                <w:szCs w:val="21"/>
                <w:highlight w:val="none"/>
                <w:lang w:val="en-US" w:eastAsia="zh-CN"/>
              </w:rPr>
              <w:t>租赁</w:t>
            </w:r>
            <w:r>
              <w:rPr>
                <w:rFonts w:hint="default" w:ascii="Times New Roman" w:hAnsi="Times New Roman" w:eastAsia="宋体" w:cs="Times New Roman"/>
                <w:sz w:val="21"/>
                <w:szCs w:val="21"/>
                <w:lang w:eastAsia="zh-CN"/>
              </w:rPr>
              <w:t>重庆市</w:t>
            </w:r>
            <w:r>
              <w:rPr>
                <w:rFonts w:hint="default" w:ascii="Times New Roman" w:hAnsi="Times New Roman" w:eastAsia="宋体" w:cs="Times New Roman"/>
                <w:sz w:val="21"/>
                <w:szCs w:val="21"/>
                <w:lang w:val="en-US" w:eastAsia="zh-CN"/>
              </w:rPr>
              <w:t>大足区双桥工业园区</w:t>
            </w:r>
            <w:r>
              <w:rPr>
                <w:rFonts w:hint="eastAsia" w:ascii="Times New Roman" w:hAnsi="Times New Roman" w:cs="Times New Roman"/>
                <w:sz w:val="21"/>
                <w:szCs w:val="21"/>
                <w:lang w:val="en-US" w:eastAsia="zh-CN"/>
              </w:rPr>
              <w:t>重庆联航工具制造有限公司</w:t>
            </w:r>
            <w:r>
              <w:rPr>
                <w:rFonts w:hint="eastAsia" w:cs="Times New Roman"/>
                <w:sz w:val="21"/>
                <w:szCs w:val="21"/>
                <w:lang w:val="en-US" w:eastAsia="zh-CN"/>
              </w:rPr>
              <w:t>已建</w:t>
            </w:r>
            <w:r>
              <w:rPr>
                <w:rFonts w:hint="default" w:ascii="Times New Roman" w:hAnsi="Times New Roman" w:eastAsia="宋体" w:cs="Times New Roman"/>
                <w:sz w:val="21"/>
                <w:szCs w:val="21"/>
                <w:lang w:val="en-US" w:eastAsia="zh-CN"/>
              </w:rPr>
              <w:t>厂房</w:t>
            </w:r>
            <w:r>
              <w:rPr>
                <w:rFonts w:hint="default" w:ascii="Times New Roman" w:hAnsi="Times New Roman" w:eastAsia="宋体" w:cs="Times New Roman"/>
                <w:color w:val="000000"/>
                <w:sz w:val="21"/>
                <w:szCs w:val="21"/>
                <w:highlight w:val="none"/>
              </w:rPr>
              <w:t>建设，属于</w:t>
            </w:r>
            <w:r>
              <w:rPr>
                <w:rFonts w:hint="default" w:ascii="Times New Roman" w:hAnsi="Times New Roman" w:eastAsia="宋体" w:cs="Times New Roman"/>
                <w:color w:val="000000"/>
                <w:sz w:val="21"/>
                <w:szCs w:val="21"/>
                <w:highlight w:val="none"/>
                <w:lang w:val="en-US" w:eastAsia="zh-CN"/>
              </w:rPr>
              <w:t>重庆市大足区双桥工业园区</w:t>
            </w:r>
            <w:r>
              <w:rPr>
                <w:rFonts w:hint="default" w:ascii="Times New Roman" w:hAnsi="Times New Roman" w:eastAsia="宋体" w:cs="Times New Roman"/>
                <w:color w:val="000000"/>
                <w:sz w:val="21"/>
                <w:szCs w:val="21"/>
                <w:highlight w:val="none"/>
              </w:rPr>
              <w:t>范围内。</w:t>
            </w:r>
          </w:p>
          <w:p>
            <w:pPr>
              <w:spacing w:line="360" w:lineRule="auto"/>
              <w:ind w:firstLine="420" w:firstLineChars="20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拟建</w:t>
            </w:r>
            <w:r>
              <w:rPr>
                <w:rFonts w:hint="default" w:ascii="Times New Roman" w:hAnsi="Times New Roman" w:eastAsia="宋体" w:cs="Times New Roman"/>
                <w:color w:val="000000"/>
                <w:sz w:val="21"/>
                <w:szCs w:val="21"/>
                <w:highlight w:val="none"/>
                <w:lang w:eastAsia="zh-CN"/>
              </w:rPr>
              <w:t>项目</w:t>
            </w:r>
            <w:r>
              <w:rPr>
                <w:rFonts w:hint="default" w:ascii="Times New Roman" w:hAnsi="Times New Roman" w:eastAsia="宋体" w:cs="Times New Roman"/>
                <w:color w:val="000000"/>
                <w:sz w:val="21"/>
                <w:szCs w:val="21"/>
                <w:highlight w:val="none"/>
              </w:rPr>
              <w:t>地理位置图详见附图1。</w:t>
            </w:r>
          </w:p>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eastAsia="宋体" w:cs="Times New Roman"/>
                <w:color w:val="auto"/>
                <w:lang w:val="en-US" w:eastAsia="zh-CN"/>
              </w:rPr>
              <w:t>2.基本情况</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项目名称：</w:t>
            </w:r>
            <w:r>
              <w:rPr>
                <w:rFonts w:hint="eastAsia" w:ascii="Times New Roman" w:hAnsi="Times New Roman" w:cs="Times New Roman"/>
                <w:color w:val="auto"/>
                <w:szCs w:val="21"/>
                <w:lang w:val="en-US" w:eastAsia="zh-CN"/>
              </w:rPr>
              <w:t>包装配套材料生产</w:t>
            </w:r>
            <w:r>
              <w:rPr>
                <w:rFonts w:hint="default" w:ascii="Times New Roman" w:hAnsi="Times New Roman" w:cs="Times New Roman"/>
                <w:color w:val="auto"/>
                <w:szCs w:val="21"/>
                <w:lang w:val="en-US" w:eastAsia="zh-CN"/>
              </w:rPr>
              <w:t>项目</w:t>
            </w:r>
            <w:r>
              <w:rPr>
                <w:rFonts w:hint="default" w:ascii="Times New Roman" w:hAnsi="Times New Roman" w:cs="Times New Roman"/>
                <w:color w:val="0000FF"/>
                <w:lang w:val="en-US" w:eastAsia="zh-CN"/>
              </w:rPr>
              <w:t>；</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建设单位：重庆博通工具制造有限公司；</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建设性质：新建；</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项目地点：大足区双桥工业园区；</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用地面积：</w:t>
            </w:r>
            <w:r>
              <w:rPr>
                <w:rFonts w:hint="eastAsia" w:cs="Times New Roman"/>
                <w:color w:val="auto"/>
                <w:lang w:val="en-US" w:eastAsia="zh-CN"/>
              </w:rPr>
              <w:t>2000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w:t>
            </w:r>
          </w:p>
          <w:p>
            <w:pPr>
              <w:pStyle w:val="43"/>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行业类别：橡胶和塑料制品业 塑料制品业292；</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生产规模：建成年产PP打包带500t及PET打包带500t；</w:t>
            </w:r>
          </w:p>
          <w:p>
            <w:pPr>
              <w:pStyle w:val="43"/>
              <w:bidi w:val="0"/>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项目</w:t>
            </w:r>
            <w:r>
              <w:rPr>
                <w:rFonts w:hint="default" w:ascii="Times New Roman" w:hAnsi="Times New Roman" w:eastAsia="宋体" w:cs="Times New Roman"/>
                <w:color w:val="auto"/>
                <w:lang w:val="en-US" w:eastAsia="zh-CN"/>
              </w:rPr>
              <w:t>总投资：总投资</w:t>
            </w:r>
            <w:r>
              <w:rPr>
                <w:rFonts w:hint="eastAsia" w:ascii="Times New Roman" w:hAnsi="Times New Roman" w:eastAsia="宋体" w:cs="Times New Roman"/>
                <w:color w:val="auto"/>
                <w:lang w:val="en-US" w:eastAsia="zh-CN"/>
              </w:rPr>
              <w:t>2</w:t>
            </w:r>
            <w:r>
              <w:rPr>
                <w:rFonts w:hint="default" w:ascii="Times New Roman" w:hAnsi="Times New Roman" w:eastAsia="宋体" w:cs="Times New Roman"/>
                <w:color w:val="auto"/>
                <w:lang w:val="en-US" w:eastAsia="zh-CN"/>
              </w:rPr>
              <w:t>00万元，其中环保投资</w:t>
            </w:r>
            <w:r>
              <w:rPr>
                <w:rFonts w:hint="eastAsia" w:ascii="Times New Roman" w:hAnsi="Times New Roman" w:eastAsia="宋体" w:cs="Times New Roman"/>
                <w:color w:val="auto"/>
                <w:lang w:val="en-US" w:eastAsia="zh-CN"/>
              </w:rPr>
              <w:t>15</w:t>
            </w:r>
            <w:r>
              <w:rPr>
                <w:rFonts w:hint="default" w:ascii="Times New Roman" w:hAnsi="Times New Roman" w:eastAsia="宋体" w:cs="Times New Roman"/>
                <w:color w:val="auto"/>
                <w:lang w:val="en-US" w:eastAsia="zh-CN"/>
              </w:rPr>
              <w:t>万元，占项目总投资的</w:t>
            </w:r>
            <w:r>
              <w:rPr>
                <w:rFonts w:hint="eastAsia" w:ascii="Times New Roman" w:hAnsi="Times New Roman" w:eastAsia="宋体" w:cs="Times New Roman"/>
                <w:color w:val="auto"/>
                <w:lang w:val="en-US" w:eastAsia="zh-CN"/>
              </w:rPr>
              <w:t>7.5</w:t>
            </w:r>
            <w:r>
              <w:rPr>
                <w:rFonts w:hint="default" w:ascii="Times New Roman" w:hAnsi="Times New Roman" w:eastAsia="宋体" w:cs="Times New Roman"/>
                <w:color w:val="auto"/>
                <w:lang w:val="en-US" w:eastAsia="zh-CN"/>
              </w:rPr>
              <w:t>%</w:t>
            </w:r>
            <w:r>
              <w:rPr>
                <w:rFonts w:hint="eastAsia" w:eastAsia="宋体" w:cs="Times New Roman"/>
                <w:color w:val="auto"/>
                <w:lang w:val="en-US" w:eastAsia="zh-CN"/>
              </w:rPr>
              <w:t>；</w:t>
            </w:r>
          </w:p>
          <w:p>
            <w:pPr>
              <w:pStyle w:val="43"/>
              <w:bidi w:val="0"/>
              <w:rPr>
                <w:rFonts w:hint="default" w:ascii="Times New Roman" w:hAnsi="Times New Roman" w:eastAsia="宋体" w:cs="Times New Roman"/>
                <w:color w:val="0000FF"/>
                <w:lang w:val="en-US" w:eastAsia="zh-CN"/>
              </w:rPr>
            </w:pPr>
            <w:r>
              <w:rPr>
                <w:rFonts w:hint="eastAsia" w:ascii="Times New Roman" w:hAnsi="Times New Roman" w:eastAsia="宋体" w:cs="Times New Roman"/>
                <w:color w:val="0000FF"/>
                <w:lang w:val="en-US" w:eastAsia="zh-CN"/>
              </w:rPr>
              <w:t>劳动定员</w:t>
            </w:r>
            <w:r>
              <w:rPr>
                <w:rFonts w:hint="eastAsia" w:eastAsia="宋体" w:cs="Times New Roman"/>
                <w:color w:val="0000FF"/>
                <w:lang w:val="en-US" w:eastAsia="zh-CN"/>
              </w:rPr>
              <w:t>及工作制度</w:t>
            </w:r>
            <w:r>
              <w:rPr>
                <w:rFonts w:hint="eastAsia" w:ascii="Times New Roman" w:hAnsi="Times New Roman" w:eastAsia="宋体" w:cs="Times New Roman"/>
                <w:color w:val="0000FF"/>
                <w:lang w:val="en-US" w:eastAsia="zh-CN"/>
              </w:rPr>
              <w:t>：</w:t>
            </w:r>
            <w:r>
              <w:rPr>
                <w:rFonts w:hint="eastAsia" w:eastAsia="宋体" w:cs="Times New Roman"/>
                <w:color w:val="0000FF"/>
                <w:lang w:val="en-US" w:eastAsia="zh-CN"/>
              </w:rPr>
              <w:t>共计10人，</w:t>
            </w:r>
            <w:r>
              <w:rPr>
                <w:rFonts w:hint="default" w:ascii="Times New Roman" w:hAnsi="Times New Roman" w:cs="Times New Roman"/>
                <w:color w:val="0000FF"/>
                <w:lang w:val="en-US" w:eastAsia="zh-CN"/>
              </w:rPr>
              <w:t>全年工作天数330天，实行2班制，每班工作时长为</w:t>
            </w:r>
            <w:r>
              <w:rPr>
                <w:rFonts w:hint="eastAsia" w:cs="Times New Roman"/>
                <w:color w:val="0000FF"/>
                <w:lang w:val="en-US" w:eastAsia="zh-CN"/>
              </w:rPr>
              <w:t>12</w:t>
            </w:r>
            <w:r>
              <w:rPr>
                <w:rFonts w:hint="default" w:ascii="Times New Roman" w:hAnsi="Times New Roman" w:cs="Times New Roman"/>
                <w:color w:val="0000FF"/>
                <w:lang w:val="en-US" w:eastAsia="zh-CN"/>
              </w:rPr>
              <w:t>小时</w:t>
            </w:r>
            <w:r>
              <w:rPr>
                <w:rFonts w:hint="eastAsia" w:eastAsia="宋体" w:cs="Times New Roman"/>
                <w:color w:val="0000FF"/>
                <w:lang w:val="en-US" w:eastAsia="zh-CN"/>
              </w:rPr>
              <w:t>。</w:t>
            </w:r>
          </w:p>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3.主要产品及产能</w:t>
            </w:r>
          </w:p>
          <w:p>
            <w:pPr>
              <w:pStyle w:val="43"/>
              <w:bidi w:val="0"/>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auto"/>
                <w:lang w:val="en-US" w:eastAsia="zh-CN"/>
              </w:rPr>
              <w:t>拟建项</w:t>
            </w:r>
            <w:r>
              <w:rPr>
                <w:rFonts w:hint="default" w:ascii="Times New Roman" w:hAnsi="Times New Roman" w:eastAsia="宋体" w:cs="Times New Roman"/>
                <w:color w:val="000000"/>
                <w:sz w:val="21"/>
                <w:szCs w:val="21"/>
                <w:highlight w:val="none"/>
                <w:lang w:val="en-US" w:eastAsia="zh-CN"/>
              </w:rPr>
              <w:t xml:space="preserve">目生产的主要产品及产能见表2-1。产品质量满足《中华人民共和国国家标准 </w:t>
            </w:r>
            <w:r>
              <w:rPr>
                <w:rFonts w:hint="default" w:ascii="Times New Roman" w:hAnsi="Times New Roman" w:eastAsia="宋体" w:cs="Times New Roman"/>
                <w:color w:val="000000"/>
                <w:sz w:val="21"/>
                <w:szCs w:val="21"/>
                <w:highlight w:val="none"/>
                <w:lang w:eastAsia="zh-CN"/>
              </w:rPr>
              <w:t>塑料打包带》（</w:t>
            </w:r>
            <w:r>
              <w:rPr>
                <w:rFonts w:hint="default" w:ascii="Times New Roman" w:hAnsi="Times New Roman" w:eastAsia="宋体" w:cs="Times New Roman"/>
                <w:color w:val="000000"/>
                <w:sz w:val="21"/>
                <w:szCs w:val="21"/>
                <w:highlight w:val="none"/>
                <w:lang w:val="en-US" w:eastAsia="zh-CN"/>
              </w:rPr>
              <w:t>GB12023-89</w:t>
            </w:r>
            <w:r>
              <w:rPr>
                <w:rFonts w:hint="default" w:ascii="Times New Roman" w:hAnsi="Times New Roman" w:eastAsia="宋体" w:cs="Times New Roman"/>
                <w:color w:val="000000"/>
                <w:sz w:val="21"/>
                <w:szCs w:val="21"/>
                <w:highlight w:val="none"/>
                <w:lang w:eastAsia="zh-CN"/>
              </w:rPr>
              <w:t>）。</w:t>
            </w:r>
          </w:p>
          <w:p>
            <w:pPr>
              <w:pStyle w:val="44"/>
              <w:bidi w:val="0"/>
              <w:rPr>
                <w:rFonts w:hint="default" w:ascii="Times New Roman" w:hAnsi="Times New Roman" w:eastAsia="宋体" w:cs="Times New Roman"/>
                <w:color w:val="auto"/>
                <w:lang w:val="en-US" w:eastAsia="zh-CN"/>
              </w:rPr>
            </w:pPr>
            <w:r>
              <w:rPr>
                <w:rFonts w:hint="default" w:ascii="Times New Roman" w:hAnsi="Times New Roman" w:cs="Times New Roman"/>
                <w:color w:val="auto"/>
              </w:rPr>
              <w:t>表</w:t>
            </w:r>
            <w:r>
              <w:rPr>
                <w:rFonts w:hint="default" w:ascii="Times New Roman" w:hAnsi="Times New Roman" w:cs="Times New Roman"/>
                <w:color w:val="auto"/>
                <w:lang w:val="en-US" w:eastAsia="zh-CN"/>
              </w:rPr>
              <w:t>2</w:t>
            </w:r>
            <w:r>
              <w:rPr>
                <w:rFonts w:hint="default" w:ascii="Times New Roman" w:hAnsi="Times New Roman" w:cs="Times New Roman"/>
                <w:color w:val="auto"/>
              </w:rPr>
              <w:t>-</w:t>
            </w:r>
            <w:r>
              <w:rPr>
                <w:rFonts w:hint="default" w:ascii="Times New Roman" w:hAnsi="Times New Roman" w:cs="Times New Roman"/>
                <w:color w:val="auto"/>
                <w:lang w:val="en-US" w:eastAsia="zh-CN"/>
              </w:rPr>
              <w:t>1</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拟建项目主要产品及产能</w:t>
            </w:r>
            <w:r>
              <w:rPr>
                <w:rFonts w:hint="eastAsia" w:cs="Times New Roman"/>
                <w:color w:val="auto"/>
                <w:lang w:val="en-US" w:eastAsia="zh-CN"/>
              </w:rPr>
              <w:t>表</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288"/>
              <w:gridCol w:w="1822"/>
              <w:gridCol w:w="1345"/>
              <w:gridCol w:w="902"/>
              <w:gridCol w:w="23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 w:type="pct"/>
                  <w:tcBorders>
                    <w:tl2br w:val="nil"/>
                    <w:tr2bl w:val="nil"/>
                  </w:tcBorders>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序号</w:t>
                  </w:r>
                </w:p>
              </w:tc>
              <w:tc>
                <w:tcPr>
                  <w:tcW w:w="781" w:type="pct"/>
                  <w:tcBorders>
                    <w:tl2br w:val="nil"/>
                    <w:tr2bl w:val="nil"/>
                  </w:tcBorders>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产品名称</w:t>
                  </w:r>
                </w:p>
              </w:tc>
              <w:tc>
                <w:tcPr>
                  <w:tcW w:w="1106" w:type="pct"/>
                  <w:tcBorders>
                    <w:tl2br w:val="nil"/>
                    <w:tr2bl w:val="nil"/>
                  </w:tcBorders>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产品规格</w:t>
                  </w:r>
                </w:p>
              </w:tc>
              <w:tc>
                <w:tcPr>
                  <w:tcW w:w="816"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产量（吨/年）</w:t>
                  </w:r>
                </w:p>
              </w:tc>
              <w:tc>
                <w:tcPr>
                  <w:tcW w:w="547"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用途</w:t>
                  </w:r>
                </w:p>
              </w:tc>
              <w:tc>
                <w:tcPr>
                  <w:tcW w:w="1407"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图片示意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 w:type="pct"/>
                  <w:tcBorders>
                    <w:tl2br w:val="nil"/>
                    <w:tr2bl w:val="nil"/>
                  </w:tcBorders>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781" w:type="pct"/>
                  <w:tcBorders>
                    <w:tl2br w:val="nil"/>
                    <w:tr2bl w:val="nil"/>
                  </w:tcBorders>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PP打包带</w:t>
                  </w:r>
                </w:p>
              </w:tc>
              <w:tc>
                <w:tcPr>
                  <w:tcW w:w="1106" w:type="pct"/>
                  <w:tcBorders>
                    <w:tl2br w:val="nil"/>
                    <w:tr2bl w:val="nil"/>
                  </w:tcBorders>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PP12006/PP11007</w:t>
                  </w:r>
                </w:p>
              </w:tc>
              <w:tc>
                <w:tcPr>
                  <w:tcW w:w="816"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w:t>
                  </w:r>
                </w:p>
              </w:tc>
              <w:tc>
                <w:tcPr>
                  <w:tcW w:w="547" w:type="pct"/>
                  <w:vMerge w:val="restar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物品打包用</w:t>
                  </w:r>
                </w:p>
              </w:tc>
              <w:tc>
                <w:tcPr>
                  <w:tcW w:w="1407"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drawing>
                      <wp:inline distT="0" distB="0" distL="114300" distR="114300">
                        <wp:extent cx="1328420" cy="1217930"/>
                        <wp:effectExtent l="0" t="0" r="5080"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1328420" cy="1217930"/>
                                </a:xfrm>
                                <a:prstGeom prst="rect">
                                  <a:avLst/>
                                </a:prstGeom>
                                <a:noFill/>
                                <a:ln>
                                  <a:noFill/>
                                </a:ln>
                              </pic:spPr>
                            </pic:pic>
                          </a:graphicData>
                        </a:graphic>
                      </wp:inline>
                    </w:drawing>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2</w:t>
                  </w:r>
                </w:p>
              </w:tc>
              <w:tc>
                <w:tcPr>
                  <w:tcW w:w="781" w:type="pct"/>
                  <w:tcBorders>
                    <w:tl2br w:val="nil"/>
                    <w:tr2bl w:val="nil"/>
                  </w:tcBorders>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PET打包带</w:t>
                  </w:r>
                </w:p>
              </w:tc>
              <w:tc>
                <w:tcPr>
                  <w:tcW w:w="1106" w:type="pct"/>
                  <w:tcBorders>
                    <w:tl2br w:val="nil"/>
                    <w:tr2bl w:val="nil"/>
                  </w:tcBorders>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PET</w:t>
                  </w:r>
                  <w:r>
                    <w:rPr>
                      <w:rFonts w:hint="default" w:ascii="Times New Roman" w:hAnsi="Times New Roman" w:cs="Times New Roman"/>
                      <w:color w:val="auto"/>
                      <w:sz w:val="21"/>
                      <w:szCs w:val="21"/>
                      <w:lang w:val="en-US" w:eastAsia="zh-CN"/>
                    </w:rPr>
                    <w:t>160</w:t>
                  </w:r>
                  <w:r>
                    <w:rPr>
                      <w:rFonts w:hint="eastAsia" w:cs="Times New Roman"/>
                      <w:color w:val="auto"/>
                      <w:sz w:val="21"/>
                      <w:szCs w:val="21"/>
                      <w:lang w:val="en-US" w:eastAsia="zh-CN"/>
                    </w:rPr>
                    <w:t>0</w:t>
                  </w:r>
                  <w:r>
                    <w:rPr>
                      <w:rFonts w:hint="default" w:ascii="Times New Roman" w:hAnsi="Times New Roman" w:cs="Times New Roman"/>
                      <w:color w:val="auto"/>
                      <w:sz w:val="21"/>
                      <w:szCs w:val="21"/>
                      <w:lang w:val="en-US" w:eastAsia="zh-CN"/>
                    </w:rPr>
                    <w:t>6/</w:t>
                  </w:r>
                  <w:r>
                    <w:rPr>
                      <w:rFonts w:hint="eastAsia" w:cs="Times New Roman"/>
                      <w:color w:val="auto"/>
                      <w:sz w:val="21"/>
                      <w:szCs w:val="21"/>
                      <w:lang w:val="en-US" w:eastAsia="zh-CN"/>
                    </w:rPr>
                    <w:t>PET</w:t>
                  </w:r>
                  <w:r>
                    <w:rPr>
                      <w:rFonts w:hint="default" w:ascii="Times New Roman" w:hAnsi="Times New Roman" w:cs="Times New Roman"/>
                      <w:color w:val="auto"/>
                      <w:sz w:val="21"/>
                      <w:szCs w:val="21"/>
                      <w:lang w:val="en-US" w:eastAsia="zh-CN"/>
                    </w:rPr>
                    <w:t>16</w:t>
                  </w:r>
                  <w:r>
                    <w:rPr>
                      <w:rFonts w:hint="eastAsia" w:cs="Times New Roman"/>
                      <w:color w:val="auto"/>
                      <w:sz w:val="21"/>
                      <w:szCs w:val="21"/>
                      <w:lang w:val="en-US" w:eastAsia="zh-CN"/>
                    </w:rPr>
                    <w:t>0</w:t>
                  </w:r>
                  <w:r>
                    <w:rPr>
                      <w:rFonts w:hint="default" w:ascii="Times New Roman" w:hAnsi="Times New Roman" w:cs="Times New Roman"/>
                      <w:color w:val="auto"/>
                      <w:sz w:val="21"/>
                      <w:szCs w:val="21"/>
                      <w:lang w:val="en-US" w:eastAsia="zh-CN"/>
                    </w:rPr>
                    <w:t>08/</w:t>
                  </w:r>
                  <w:r>
                    <w:rPr>
                      <w:rFonts w:hint="eastAsia" w:cs="Times New Roman"/>
                      <w:color w:val="auto"/>
                      <w:sz w:val="21"/>
                      <w:szCs w:val="21"/>
                      <w:lang w:val="en-US" w:eastAsia="zh-CN"/>
                    </w:rPr>
                    <w:t>PET</w:t>
                  </w:r>
                  <w:r>
                    <w:rPr>
                      <w:rFonts w:hint="default" w:ascii="Times New Roman" w:hAnsi="Times New Roman" w:cs="Times New Roman"/>
                      <w:color w:val="auto"/>
                      <w:sz w:val="21"/>
                      <w:szCs w:val="21"/>
                      <w:lang w:val="en-US" w:eastAsia="zh-CN"/>
                    </w:rPr>
                    <w:t>19</w:t>
                  </w:r>
                  <w:r>
                    <w:rPr>
                      <w:rFonts w:hint="eastAsia" w:cs="Times New Roman"/>
                      <w:color w:val="auto"/>
                      <w:sz w:val="21"/>
                      <w:szCs w:val="21"/>
                      <w:lang w:val="en-US" w:eastAsia="zh-CN"/>
                    </w:rPr>
                    <w:t>0</w:t>
                  </w:r>
                  <w:r>
                    <w:rPr>
                      <w:rFonts w:hint="default" w:ascii="Times New Roman" w:hAnsi="Times New Roman" w:cs="Times New Roman"/>
                      <w:color w:val="auto"/>
                      <w:sz w:val="21"/>
                      <w:szCs w:val="21"/>
                      <w:lang w:val="en-US" w:eastAsia="zh-CN"/>
                    </w:rPr>
                    <w:t>10</w:t>
                  </w:r>
                </w:p>
              </w:tc>
              <w:tc>
                <w:tcPr>
                  <w:tcW w:w="816"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w:t>
                  </w:r>
                </w:p>
              </w:tc>
              <w:tc>
                <w:tcPr>
                  <w:tcW w:w="547" w:type="pct"/>
                  <w:vMerge w:val="continue"/>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p>
              </w:tc>
              <w:tc>
                <w:tcPr>
                  <w:tcW w:w="1407" w:type="pct"/>
                  <w:tcBorders>
                    <w:tl2br w:val="nil"/>
                    <w:tr2bl w:val="nil"/>
                  </w:tcBorders>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drawing>
                      <wp:inline distT="0" distB="0" distL="114300" distR="114300">
                        <wp:extent cx="1334135" cy="1337945"/>
                        <wp:effectExtent l="0" t="0" r="18415" b="14605"/>
                        <wp:docPr id="6" name="图片 6" descr="1405fc45db857058d56d3b9d1a68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405fc45db857058d56d3b9d1a6876b"/>
                                <pic:cNvPicPr>
                                  <a:picLocks noChangeAspect="1"/>
                                </pic:cNvPicPr>
                              </pic:nvPicPr>
                              <pic:blipFill>
                                <a:blip r:embed="rId9"/>
                                <a:stretch>
                                  <a:fillRect/>
                                </a:stretch>
                              </pic:blipFill>
                              <pic:spPr>
                                <a:xfrm>
                                  <a:off x="0" y="0"/>
                                  <a:ext cx="1334135" cy="1337945"/>
                                </a:xfrm>
                                <a:prstGeom prst="rect">
                                  <a:avLst/>
                                </a:prstGeom>
                              </pic:spPr>
                            </pic:pic>
                          </a:graphicData>
                        </a:graphic>
                      </wp:inline>
                    </w:drawing>
                  </w:r>
                </w:p>
              </w:tc>
            </w:tr>
          </w:tbl>
          <w:p>
            <w:pPr>
              <w:pStyle w:val="43"/>
              <w:bidi w:val="0"/>
              <w:rPr>
                <w:rFonts w:hint="default" w:ascii="Times New Roman" w:hAnsi="Times New Roman" w:eastAsia="宋体" w:cs="Times New Roman"/>
                <w:color w:val="0000FF"/>
                <w:sz w:val="21"/>
                <w:szCs w:val="21"/>
                <w:highlight w:val="none"/>
                <w:lang w:val="en-US" w:eastAsia="zh-CN"/>
              </w:rPr>
            </w:pPr>
            <w:r>
              <w:rPr>
                <w:rFonts w:hint="eastAsia" w:ascii="Times New Roman" w:hAnsi="Times New Roman" w:eastAsia="宋体" w:cs="Times New Roman"/>
                <w:color w:val="0000FF"/>
                <w:sz w:val="21"/>
                <w:szCs w:val="21"/>
                <w:highlight w:val="none"/>
                <w:lang w:val="en-US" w:eastAsia="zh-CN"/>
              </w:rPr>
              <w:t>产品规格按照</w:t>
            </w:r>
            <w:r>
              <w:rPr>
                <w:rFonts w:hint="default" w:ascii="Times New Roman" w:hAnsi="Times New Roman" w:eastAsia="宋体" w:cs="Times New Roman"/>
                <w:color w:val="0000FF"/>
                <w:sz w:val="21"/>
                <w:szCs w:val="21"/>
                <w:highlight w:val="none"/>
                <w:lang w:val="en-US" w:eastAsia="zh-CN"/>
              </w:rPr>
              <w:t>《中华人民共和国国家标准 塑料打包带》（GB12023-89）</w:t>
            </w:r>
            <w:r>
              <w:rPr>
                <w:rFonts w:hint="eastAsia" w:ascii="Times New Roman" w:hAnsi="Times New Roman" w:eastAsia="宋体" w:cs="Times New Roman"/>
                <w:color w:val="0000FF"/>
                <w:sz w:val="21"/>
                <w:szCs w:val="21"/>
                <w:highlight w:val="none"/>
                <w:lang w:val="en-US" w:eastAsia="zh-CN"/>
              </w:rPr>
              <w:t>进行编号</w:t>
            </w:r>
            <w:r>
              <w:rPr>
                <w:rFonts w:hint="eastAsia" w:eastAsia="宋体" w:cs="Times New Roman"/>
                <w:color w:val="0000FF"/>
                <w:sz w:val="21"/>
                <w:szCs w:val="21"/>
                <w:highlight w:val="none"/>
                <w:lang w:val="en-US" w:eastAsia="zh-CN"/>
              </w:rPr>
              <w:t>，如</w:t>
            </w:r>
            <w:r>
              <w:rPr>
                <w:rFonts w:hint="eastAsia" w:ascii="Times New Roman" w:hAnsi="Times New Roman" w:eastAsia="宋体" w:cs="Times New Roman"/>
                <w:color w:val="0000FF"/>
                <w:sz w:val="21"/>
                <w:szCs w:val="21"/>
                <w:highlight w:val="none"/>
                <w:lang w:val="en-US" w:eastAsia="zh-CN"/>
              </w:rPr>
              <w:t>PP12006</w:t>
            </w:r>
            <w:r>
              <w:rPr>
                <w:rFonts w:hint="eastAsia" w:eastAsia="宋体" w:cs="Times New Roman"/>
                <w:color w:val="0000FF"/>
                <w:sz w:val="21"/>
                <w:szCs w:val="21"/>
                <w:highlight w:val="none"/>
                <w:lang w:val="en-US" w:eastAsia="zh-CN"/>
              </w:rPr>
              <w:t>为PP材质，12mm宽，0.6mm厚。</w:t>
            </w:r>
          </w:p>
          <w:p>
            <w:pPr>
              <w:pStyle w:val="46"/>
              <w:numPr>
                <w:ilvl w:val="0"/>
                <w:numId w:val="0"/>
              </w:numPr>
              <w:bidi w:val="0"/>
              <w:ind w:left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4.项目组成</w:t>
            </w:r>
          </w:p>
          <w:p>
            <w:pPr>
              <w:pStyle w:val="43"/>
              <w:bidi w:val="0"/>
              <w:rPr>
                <w:rFonts w:hint="default" w:ascii="Times New Roman" w:hAnsi="Times New Roman" w:eastAsia="宋体" w:cs="Times New Roman"/>
                <w:color w:val="0000FF"/>
                <w:lang w:val="en-US" w:eastAsia="zh-CN"/>
              </w:rPr>
            </w:pPr>
            <w:r>
              <w:rPr>
                <w:rFonts w:hint="default" w:ascii="Times New Roman" w:hAnsi="Times New Roman" w:eastAsia="宋体" w:cs="Times New Roman"/>
                <w:color w:val="0000FF"/>
                <w:lang w:val="en-US" w:eastAsia="zh-CN"/>
              </w:rPr>
              <w:t>拟建项目</w:t>
            </w:r>
            <w:r>
              <w:rPr>
                <w:rFonts w:hint="eastAsia" w:ascii="Times New Roman" w:hAnsi="Times New Roman" w:eastAsia="宋体" w:cs="Times New Roman"/>
                <w:color w:val="0000FF"/>
                <w:lang w:val="en-US" w:eastAsia="zh-CN"/>
              </w:rPr>
              <w:t>租赁</w:t>
            </w:r>
            <w:r>
              <w:rPr>
                <w:rFonts w:hint="eastAsia" w:ascii="Times New Roman" w:hAnsi="Times New Roman" w:cs="Times New Roman"/>
                <w:color w:val="0000FF"/>
                <w:sz w:val="21"/>
                <w:szCs w:val="21"/>
                <w:lang w:val="en-US" w:eastAsia="zh-CN"/>
              </w:rPr>
              <w:t>重庆联航工具制造有限公司已建</w:t>
            </w:r>
            <w:r>
              <w:rPr>
                <w:rFonts w:hint="eastAsia" w:ascii="Times New Roman" w:hAnsi="Times New Roman" w:eastAsia="宋体" w:cs="Times New Roman"/>
                <w:color w:val="0000FF"/>
                <w:lang w:val="en-US" w:eastAsia="zh-CN"/>
              </w:rPr>
              <w:t>厂房进行建设，主体工程为生产区域，设4条打包带生产线采用挤塑、冷却等生产工艺形成年产1000t/a打包带的生产规模，给、排水及供配电等公辅工程均依托厂区已建，配套建设隔油池、</w:t>
            </w:r>
            <w:r>
              <w:rPr>
                <w:rFonts w:hint="eastAsia" w:ascii="Times New Roman" w:hAnsi="Times New Roman" w:cs="Times New Roman"/>
                <w:color w:val="0000FF"/>
                <w:sz w:val="21"/>
                <w:szCs w:val="21"/>
                <w:lang w:val="en-US" w:eastAsia="zh-CN"/>
              </w:rPr>
              <w:t>“</w:t>
            </w:r>
            <w:r>
              <w:rPr>
                <w:rFonts w:hint="default" w:ascii="Times New Roman" w:hAnsi="Times New Roman" w:cs="Times New Roman"/>
                <w:color w:val="0000FF"/>
                <w:sz w:val="21"/>
                <w:szCs w:val="21"/>
                <w:lang w:val="en-US" w:eastAsia="zh-CN"/>
              </w:rPr>
              <w:t>UV光解+活性炭吸附装置</w:t>
            </w:r>
            <w:r>
              <w:rPr>
                <w:rFonts w:hint="eastAsia" w:ascii="Times New Roman" w:hAnsi="Times New Roman" w:cs="Times New Roman"/>
                <w:color w:val="0000FF"/>
                <w:sz w:val="21"/>
                <w:szCs w:val="21"/>
                <w:lang w:val="en-US" w:eastAsia="zh-CN"/>
              </w:rPr>
              <w:t>”</w:t>
            </w:r>
            <w:r>
              <w:rPr>
                <w:rFonts w:hint="eastAsia" w:ascii="Times New Roman" w:hAnsi="Times New Roman" w:eastAsia="宋体" w:cs="Times New Roman"/>
                <w:color w:val="0000FF"/>
                <w:lang w:val="en-US" w:eastAsia="zh-CN"/>
              </w:rPr>
              <w:t>等环保工程。厂区内设员工食堂，不设置住宿。</w:t>
            </w:r>
          </w:p>
          <w:p>
            <w:pPr>
              <w:pStyle w:val="43"/>
              <w:bidi w:val="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拟建项目不涉及住宿，</w:t>
            </w:r>
            <w:r>
              <w:rPr>
                <w:rFonts w:hint="default" w:ascii="Times New Roman" w:hAnsi="Times New Roman" w:eastAsia="宋体" w:cs="Times New Roman"/>
                <w:color w:val="auto"/>
                <w:lang w:val="en-US" w:eastAsia="zh-CN"/>
              </w:rPr>
              <w:t>具体</w:t>
            </w:r>
            <w:r>
              <w:rPr>
                <w:rFonts w:hint="default" w:ascii="Times New Roman" w:hAnsi="Times New Roman" w:cs="Times New Roman"/>
                <w:color w:val="auto"/>
                <w:lang w:val="en-US" w:eastAsia="zh-CN"/>
              </w:rPr>
              <w:t>建设内容详见表2-2所示。</w:t>
            </w:r>
          </w:p>
          <w:p>
            <w:pPr>
              <w:pStyle w:val="44"/>
              <w:bidi w:val="0"/>
              <w:rPr>
                <w:rFonts w:hint="default" w:ascii="Times New Roman" w:hAnsi="Times New Roman" w:cs="Times New Roman"/>
                <w:color w:val="auto"/>
              </w:rPr>
            </w:pPr>
            <w:r>
              <w:rPr>
                <w:rFonts w:hint="default" w:ascii="Times New Roman" w:hAnsi="Times New Roman" w:cs="Times New Roman"/>
                <w:color w:val="auto"/>
              </w:rPr>
              <w:t>表</w:t>
            </w:r>
            <w:r>
              <w:rPr>
                <w:rFonts w:hint="default" w:ascii="Times New Roman" w:hAnsi="Times New Roman" w:cs="Times New Roman"/>
                <w:color w:val="auto"/>
                <w:lang w:val="en-US" w:eastAsia="zh-CN"/>
              </w:rPr>
              <w:t>2</w:t>
            </w:r>
            <w:r>
              <w:rPr>
                <w:rFonts w:hint="default" w:ascii="Times New Roman" w:hAnsi="Times New Roman" w:cs="Times New Roman"/>
                <w:color w:val="auto"/>
              </w:rPr>
              <w:t>-</w:t>
            </w:r>
            <w:r>
              <w:rPr>
                <w:rFonts w:hint="default" w:ascii="Times New Roman" w:hAnsi="Times New Roman" w:cs="Times New Roman"/>
                <w:color w:val="auto"/>
                <w:lang w:val="en-US" w:eastAsia="zh-CN"/>
              </w:rPr>
              <w:t>2</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拟建</w:t>
            </w:r>
            <w:r>
              <w:rPr>
                <w:rFonts w:hint="default" w:ascii="Times New Roman" w:hAnsi="Times New Roman" w:cs="Times New Roman"/>
                <w:color w:val="auto"/>
              </w:rPr>
              <w:t>项目</w:t>
            </w:r>
            <w:r>
              <w:rPr>
                <w:rFonts w:hint="default" w:ascii="Times New Roman" w:hAnsi="Times New Roman" w:cs="Times New Roman"/>
                <w:color w:val="auto"/>
                <w:lang w:val="en-US" w:eastAsia="zh-CN"/>
              </w:rPr>
              <w:t>组成</w:t>
            </w:r>
            <w:r>
              <w:rPr>
                <w:rFonts w:hint="eastAsia" w:cs="Times New Roman"/>
                <w:color w:val="auto"/>
                <w:lang w:val="en-US" w:eastAsia="zh-CN"/>
              </w:rPr>
              <w:t>表</w:t>
            </w:r>
          </w:p>
          <w:tbl>
            <w:tblPr>
              <w:tblStyle w:val="2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2"/>
              <w:gridCol w:w="344"/>
              <w:gridCol w:w="875"/>
              <w:gridCol w:w="5702"/>
              <w:gridCol w:w="6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tcBorders>
                    <w:tl2br w:val="nil"/>
                    <w:tr2bl w:val="nil"/>
                  </w:tcBorders>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类别</w:t>
                  </w:r>
                </w:p>
              </w:tc>
              <w:tc>
                <w:tcPr>
                  <w:tcW w:w="1219" w:type="dxa"/>
                  <w:gridSpan w:val="2"/>
                  <w:tcBorders>
                    <w:tl2br w:val="nil"/>
                    <w:tr2bl w:val="nil"/>
                  </w:tcBorders>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项目名称</w:t>
                  </w:r>
                </w:p>
              </w:tc>
              <w:tc>
                <w:tcPr>
                  <w:tcW w:w="5702" w:type="dxa"/>
                  <w:tcBorders>
                    <w:tl2br w:val="nil"/>
                    <w:tr2bl w:val="nil"/>
                  </w:tcBorders>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主要建设内容</w:t>
                  </w:r>
                </w:p>
              </w:tc>
              <w:tc>
                <w:tcPr>
                  <w:tcW w:w="673" w:type="dxa"/>
                  <w:tcBorders>
                    <w:tl2br w:val="nil"/>
                    <w:tr2bl w:val="nil"/>
                  </w:tcBorders>
                  <w:noWrap w:val="0"/>
                  <w:vAlign w:val="center"/>
                </w:tcPr>
                <w:p>
                  <w:pPr>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trPr>
              <w:tc>
                <w:tcPr>
                  <w:tcW w:w="642"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主体工程</w:t>
                  </w:r>
                </w:p>
              </w:tc>
              <w:tc>
                <w:tcPr>
                  <w:tcW w:w="1219" w:type="dxa"/>
                  <w:gridSpan w:val="2"/>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生产区域</w:t>
                  </w:r>
                </w:p>
              </w:tc>
              <w:tc>
                <w:tcPr>
                  <w:tcW w:w="570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位于厂区中部，占地面积约</w:t>
                  </w:r>
                  <w:r>
                    <w:rPr>
                      <w:rFonts w:hint="eastAsia" w:cs="Times New Roman"/>
                      <w:color w:val="auto"/>
                      <w:sz w:val="21"/>
                      <w:szCs w:val="21"/>
                      <w:lang w:val="en-US" w:eastAsia="zh-CN"/>
                    </w:rPr>
                    <w:t>35</w:t>
                  </w:r>
                  <w:r>
                    <w:rPr>
                      <w:rFonts w:hint="default" w:ascii="Times New Roman" w:hAnsi="Times New Roman" w:cs="Times New Roman"/>
                      <w:color w:val="auto"/>
                      <w:sz w:val="21"/>
                      <w:szCs w:val="21"/>
                      <w:lang w:val="en-US" w:eastAsia="zh-CN"/>
                    </w:rPr>
                    <w:t>0m</w:t>
                  </w:r>
                  <w:r>
                    <w:rPr>
                      <w:rFonts w:hint="default" w:ascii="Times New Roman" w:hAnsi="Times New Roman" w:cs="Times New Roman"/>
                      <w:color w:val="auto"/>
                      <w:sz w:val="21"/>
                      <w:szCs w:val="21"/>
                      <w:vertAlign w:val="superscript"/>
                      <w:lang w:val="en-US" w:eastAsia="zh-CN"/>
                    </w:rPr>
                    <w:t>2</w:t>
                  </w:r>
                  <w:r>
                    <w:rPr>
                      <w:rFonts w:hint="default" w:ascii="Times New Roman" w:hAnsi="Times New Roman" w:cs="Times New Roman"/>
                      <w:color w:val="auto"/>
                      <w:sz w:val="21"/>
                      <w:szCs w:val="21"/>
                      <w:lang w:val="en-US" w:eastAsia="zh-CN"/>
                    </w:rPr>
                    <w:t>，</w:t>
                  </w:r>
                  <w:r>
                    <w:rPr>
                      <w:rFonts w:hint="eastAsia" w:cs="Times New Roman"/>
                      <w:color w:val="auto"/>
                      <w:sz w:val="21"/>
                      <w:szCs w:val="21"/>
                      <w:lang w:val="en-US" w:eastAsia="zh-CN"/>
                    </w:rPr>
                    <w:t>主要布置PP打包带生产线及PET打包带生产线，分别为PP打包带生产线2条，PET打包带生产线2条</w:t>
                  </w:r>
                </w:p>
              </w:tc>
              <w:tc>
                <w:tcPr>
                  <w:tcW w:w="673"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restar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辅助工程</w:t>
                  </w:r>
                </w:p>
              </w:tc>
              <w:tc>
                <w:tcPr>
                  <w:tcW w:w="1219" w:type="dxa"/>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办公区</w:t>
                  </w:r>
                </w:p>
              </w:tc>
              <w:tc>
                <w:tcPr>
                  <w:tcW w:w="5702"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位于厂区</w:t>
                  </w:r>
                  <w:r>
                    <w:rPr>
                      <w:rFonts w:hint="eastAsia" w:ascii="Times New Roman" w:hAnsi="Times New Roman" w:cs="Times New Roman"/>
                      <w:color w:val="auto"/>
                      <w:sz w:val="21"/>
                      <w:szCs w:val="21"/>
                      <w:lang w:val="en-US" w:eastAsia="zh-CN"/>
                    </w:rPr>
                    <w:t>西</w:t>
                  </w:r>
                  <w:r>
                    <w:rPr>
                      <w:rFonts w:hint="default" w:ascii="Times New Roman" w:hAnsi="Times New Roman" w:cs="Times New Roman"/>
                      <w:color w:val="auto"/>
                      <w:sz w:val="21"/>
                      <w:szCs w:val="21"/>
                      <w:lang w:val="en-US" w:eastAsia="zh-CN"/>
                    </w:rPr>
                    <w:t>侧，占地面积</w:t>
                  </w:r>
                  <w:r>
                    <w:rPr>
                      <w:rFonts w:hint="eastAsia" w:cs="Times New Roman"/>
                      <w:color w:val="auto"/>
                      <w:sz w:val="21"/>
                      <w:szCs w:val="21"/>
                      <w:lang w:val="en-US" w:eastAsia="zh-CN"/>
                    </w:rPr>
                    <w:t>1</w:t>
                  </w:r>
                  <w:r>
                    <w:rPr>
                      <w:rFonts w:hint="default" w:ascii="Times New Roman" w:hAnsi="Times New Roman" w:cs="Times New Roman"/>
                      <w:color w:val="auto"/>
                      <w:sz w:val="21"/>
                      <w:szCs w:val="21"/>
                      <w:lang w:val="en-US" w:eastAsia="zh-CN"/>
                    </w:rPr>
                    <w:t>50m</w:t>
                  </w:r>
                  <w:r>
                    <w:rPr>
                      <w:rFonts w:hint="default" w:ascii="Times New Roman" w:hAnsi="Times New Roman" w:cs="Times New Roman"/>
                      <w:color w:val="auto"/>
                      <w:sz w:val="21"/>
                      <w:szCs w:val="21"/>
                      <w:vertAlign w:val="superscript"/>
                      <w:lang w:val="en-US" w:eastAsia="zh-CN"/>
                    </w:rPr>
                    <w:t>2</w:t>
                  </w:r>
                  <w:r>
                    <w:rPr>
                      <w:rFonts w:hint="default" w:ascii="Times New Roman" w:hAnsi="Times New Roman" w:cs="Times New Roman"/>
                      <w:color w:val="auto"/>
                      <w:sz w:val="21"/>
                      <w:szCs w:val="21"/>
                      <w:lang w:val="en-US" w:eastAsia="zh-CN"/>
                    </w:rPr>
                    <w:t>，用于人员办公</w:t>
                  </w:r>
                </w:p>
              </w:tc>
              <w:tc>
                <w:tcPr>
                  <w:tcW w:w="673"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19" w:type="dxa"/>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食堂</w:t>
                  </w:r>
                </w:p>
              </w:tc>
              <w:tc>
                <w:tcPr>
                  <w:tcW w:w="570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位于厂区</w:t>
                  </w:r>
                  <w:r>
                    <w:rPr>
                      <w:rFonts w:hint="eastAsia" w:ascii="Times New Roman" w:hAnsi="Times New Roman" w:cs="Times New Roman"/>
                      <w:color w:val="auto"/>
                      <w:sz w:val="21"/>
                      <w:szCs w:val="21"/>
                      <w:lang w:val="en-US" w:eastAsia="zh-CN"/>
                    </w:rPr>
                    <w:t>东</w:t>
                  </w:r>
                  <w:r>
                    <w:rPr>
                      <w:rFonts w:hint="default" w:ascii="Times New Roman" w:hAnsi="Times New Roman" w:cs="Times New Roman"/>
                      <w:color w:val="auto"/>
                      <w:sz w:val="21"/>
                      <w:szCs w:val="21"/>
                      <w:lang w:val="en-US" w:eastAsia="zh-CN"/>
                    </w:rPr>
                    <w:t>侧，占地面积约</w:t>
                  </w:r>
                  <w:r>
                    <w:rPr>
                      <w:rFonts w:hint="eastAsia" w:cs="Times New Roman"/>
                      <w:color w:val="auto"/>
                      <w:sz w:val="21"/>
                      <w:szCs w:val="21"/>
                      <w:lang w:val="en-US" w:eastAsia="zh-CN"/>
                    </w:rPr>
                    <w:t>10</w:t>
                  </w:r>
                  <w:r>
                    <w:rPr>
                      <w:rFonts w:hint="default" w:ascii="Times New Roman" w:hAnsi="Times New Roman" w:cs="Times New Roman"/>
                      <w:color w:val="auto"/>
                      <w:sz w:val="21"/>
                      <w:szCs w:val="21"/>
                      <w:lang w:val="en-US" w:eastAsia="zh-CN"/>
                    </w:rPr>
                    <w:t>0m</w:t>
                  </w:r>
                  <w:r>
                    <w:rPr>
                      <w:rFonts w:hint="default" w:ascii="Times New Roman" w:hAnsi="Times New Roman" w:cs="Times New Roman"/>
                      <w:color w:val="auto"/>
                      <w:sz w:val="21"/>
                      <w:szCs w:val="21"/>
                      <w:vertAlign w:val="superscript"/>
                      <w:lang w:val="en-US" w:eastAsia="zh-CN"/>
                    </w:rPr>
                    <w:t>2</w:t>
                  </w:r>
                  <w:r>
                    <w:rPr>
                      <w:rFonts w:hint="default" w:ascii="Times New Roman" w:hAnsi="Times New Roman" w:cs="Times New Roman"/>
                      <w:color w:val="auto"/>
                      <w:sz w:val="21"/>
                      <w:szCs w:val="21"/>
                      <w:lang w:val="en-US" w:eastAsia="zh-CN"/>
                    </w:rPr>
                    <w:t>，用于人员餐饮</w:t>
                  </w:r>
                </w:p>
              </w:tc>
              <w:tc>
                <w:tcPr>
                  <w:tcW w:w="673"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restar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储运工程</w:t>
                  </w:r>
                </w:p>
              </w:tc>
              <w:tc>
                <w:tcPr>
                  <w:tcW w:w="1219" w:type="dxa"/>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原辅料库</w:t>
                  </w:r>
                </w:p>
              </w:tc>
              <w:tc>
                <w:tcPr>
                  <w:tcW w:w="5702"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位于厂区</w:t>
                  </w:r>
                  <w:r>
                    <w:rPr>
                      <w:rFonts w:hint="eastAsia" w:ascii="Times New Roman" w:hAnsi="Times New Roman" w:cs="Times New Roman"/>
                      <w:color w:val="auto"/>
                      <w:sz w:val="21"/>
                      <w:szCs w:val="21"/>
                      <w:lang w:val="en-US" w:eastAsia="zh-CN"/>
                    </w:rPr>
                    <w:t>西</w:t>
                  </w:r>
                  <w:r>
                    <w:rPr>
                      <w:rFonts w:hint="default" w:ascii="Times New Roman" w:hAnsi="Times New Roman" w:cs="Times New Roman"/>
                      <w:color w:val="auto"/>
                      <w:sz w:val="21"/>
                      <w:szCs w:val="21"/>
                      <w:lang w:val="en-US" w:eastAsia="zh-CN"/>
                    </w:rPr>
                    <w:t>侧，占地面积约</w:t>
                  </w:r>
                  <w:r>
                    <w:rPr>
                      <w:rFonts w:hint="eastAsia" w:cs="Times New Roman"/>
                      <w:color w:val="auto"/>
                      <w:sz w:val="21"/>
                      <w:szCs w:val="21"/>
                      <w:lang w:val="en-US" w:eastAsia="zh-CN"/>
                    </w:rPr>
                    <w:t>6</w:t>
                  </w:r>
                  <w:r>
                    <w:rPr>
                      <w:rFonts w:hint="default" w:ascii="Times New Roman" w:hAnsi="Times New Roman" w:cs="Times New Roman"/>
                      <w:color w:val="auto"/>
                      <w:sz w:val="21"/>
                      <w:szCs w:val="21"/>
                      <w:lang w:val="en-US" w:eastAsia="zh-CN"/>
                    </w:rPr>
                    <w:t>50m</w:t>
                  </w:r>
                  <w:r>
                    <w:rPr>
                      <w:rFonts w:hint="default" w:ascii="Times New Roman" w:hAnsi="Times New Roman" w:cs="Times New Roman"/>
                      <w:color w:val="auto"/>
                      <w:sz w:val="21"/>
                      <w:szCs w:val="21"/>
                      <w:vertAlign w:val="superscript"/>
                      <w:lang w:val="en-US" w:eastAsia="zh-CN"/>
                    </w:rPr>
                    <w:t>2</w:t>
                  </w:r>
                  <w:r>
                    <w:rPr>
                      <w:rFonts w:hint="default" w:ascii="Times New Roman" w:hAnsi="Times New Roman" w:cs="Times New Roman"/>
                      <w:color w:val="auto"/>
                      <w:sz w:val="21"/>
                      <w:szCs w:val="21"/>
                      <w:lang w:val="en-US" w:eastAsia="zh-CN"/>
                    </w:rPr>
                    <w:t>，用于原辅料PP</w:t>
                  </w:r>
                  <w:r>
                    <w:rPr>
                      <w:rFonts w:hint="eastAsia" w:ascii="Times New Roman" w:hAnsi="Times New Roman" w:cs="Times New Roman"/>
                      <w:color w:val="auto"/>
                      <w:sz w:val="21"/>
                      <w:szCs w:val="21"/>
                      <w:lang w:val="en-US" w:eastAsia="zh-CN"/>
                    </w:rPr>
                    <w:t>原</w:t>
                  </w:r>
                  <w:r>
                    <w:rPr>
                      <w:rFonts w:hint="default" w:ascii="Times New Roman" w:hAnsi="Times New Roman" w:cs="Times New Roman"/>
                      <w:color w:val="auto"/>
                      <w:sz w:val="21"/>
                      <w:szCs w:val="21"/>
                      <w:lang w:val="en-US" w:eastAsia="zh-CN"/>
                    </w:rPr>
                    <w:t>料</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PET</w:t>
                  </w:r>
                  <w:r>
                    <w:rPr>
                      <w:rFonts w:hint="eastAsia" w:ascii="Times New Roman" w:hAnsi="Times New Roman" w:cs="Times New Roman"/>
                      <w:color w:val="auto"/>
                      <w:sz w:val="21"/>
                      <w:szCs w:val="21"/>
                      <w:lang w:val="en-US" w:eastAsia="zh-CN"/>
                    </w:rPr>
                    <w:t>原</w:t>
                  </w:r>
                  <w:r>
                    <w:rPr>
                      <w:rFonts w:hint="default" w:ascii="Times New Roman" w:hAnsi="Times New Roman" w:cs="Times New Roman"/>
                      <w:color w:val="auto"/>
                      <w:sz w:val="21"/>
                      <w:szCs w:val="21"/>
                      <w:lang w:val="en-US" w:eastAsia="zh-CN"/>
                    </w:rPr>
                    <w:t>料</w:t>
                  </w:r>
                  <w:r>
                    <w:rPr>
                      <w:rFonts w:hint="eastAsia" w:ascii="Times New Roman" w:hAnsi="Times New Roman" w:cs="Times New Roman"/>
                      <w:color w:val="auto"/>
                      <w:sz w:val="21"/>
                      <w:szCs w:val="21"/>
                      <w:lang w:val="en-US" w:eastAsia="zh-CN"/>
                    </w:rPr>
                    <w:t>及润滑油</w:t>
                  </w:r>
                  <w:r>
                    <w:rPr>
                      <w:rFonts w:hint="default" w:ascii="Times New Roman" w:hAnsi="Times New Roman" w:cs="Times New Roman"/>
                      <w:color w:val="auto"/>
                      <w:sz w:val="21"/>
                      <w:szCs w:val="21"/>
                      <w:lang w:val="en-US" w:eastAsia="zh-CN"/>
                    </w:rPr>
                    <w:t>的存放</w:t>
                  </w:r>
                  <w:r>
                    <w:rPr>
                      <w:rFonts w:hint="eastAsia" w:ascii="Times New Roman" w:hAnsi="Times New Roman" w:cs="Times New Roman"/>
                      <w:color w:val="auto"/>
                      <w:sz w:val="21"/>
                      <w:szCs w:val="21"/>
                      <w:lang w:val="en-US" w:eastAsia="zh-CN"/>
                    </w:rPr>
                    <w:t>，</w:t>
                  </w:r>
                  <w:r>
                    <w:rPr>
                      <w:rFonts w:hint="eastAsia" w:cs="Times New Roman"/>
                      <w:color w:val="0000FF"/>
                      <w:sz w:val="21"/>
                      <w:szCs w:val="21"/>
                      <w:lang w:val="en-US" w:eastAsia="zh-CN"/>
                    </w:rPr>
                    <w:t>设油品区</w:t>
                  </w:r>
                  <w:r>
                    <w:rPr>
                      <w:rFonts w:hint="eastAsia" w:cs="Times New Roman"/>
                      <w:color w:val="auto"/>
                      <w:sz w:val="21"/>
                      <w:szCs w:val="21"/>
                      <w:lang w:val="en-US" w:eastAsia="zh-CN"/>
                    </w:rPr>
                    <w:t>，</w:t>
                  </w:r>
                  <w:r>
                    <w:rPr>
                      <w:rFonts w:hint="eastAsia" w:ascii="Times New Roman" w:hAnsi="Times New Roman" w:cs="Times New Roman"/>
                      <w:color w:val="auto"/>
                      <w:sz w:val="21"/>
                      <w:szCs w:val="21"/>
                      <w:lang w:val="en-US" w:eastAsia="zh-CN"/>
                    </w:rPr>
                    <w:t>润滑油进行分区单独存放</w:t>
                  </w:r>
                </w:p>
              </w:tc>
              <w:tc>
                <w:tcPr>
                  <w:tcW w:w="673"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19" w:type="dxa"/>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成品库</w:t>
                  </w:r>
                </w:p>
              </w:tc>
              <w:tc>
                <w:tcPr>
                  <w:tcW w:w="570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位于厂区</w:t>
                  </w:r>
                  <w:r>
                    <w:rPr>
                      <w:rFonts w:hint="eastAsia" w:ascii="Times New Roman" w:hAnsi="Times New Roman" w:cs="Times New Roman"/>
                      <w:color w:val="auto"/>
                      <w:sz w:val="21"/>
                      <w:szCs w:val="21"/>
                      <w:lang w:val="en-US" w:eastAsia="zh-CN"/>
                    </w:rPr>
                    <w:t>北</w:t>
                  </w:r>
                  <w:r>
                    <w:rPr>
                      <w:rFonts w:hint="default" w:ascii="Times New Roman" w:hAnsi="Times New Roman" w:cs="Times New Roman"/>
                      <w:color w:val="auto"/>
                      <w:sz w:val="21"/>
                      <w:szCs w:val="21"/>
                      <w:lang w:val="en-US" w:eastAsia="zh-CN"/>
                    </w:rPr>
                    <w:t>侧，占地面积约</w:t>
                  </w:r>
                  <w:r>
                    <w:rPr>
                      <w:rFonts w:hint="eastAsia" w:cs="Times New Roman"/>
                      <w:color w:val="auto"/>
                      <w:sz w:val="21"/>
                      <w:szCs w:val="21"/>
                      <w:lang w:val="en-US" w:eastAsia="zh-CN"/>
                    </w:rPr>
                    <w:t>60</w:t>
                  </w:r>
                  <w:r>
                    <w:rPr>
                      <w:rFonts w:hint="default" w:ascii="Times New Roman" w:hAnsi="Times New Roman" w:cs="Times New Roman"/>
                      <w:color w:val="auto"/>
                      <w:sz w:val="21"/>
                      <w:szCs w:val="21"/>
                      <w:lang w:val="en-US" w:eastAsia="zh-CN"/>
                    </w:rPr>
                    <w:t>0m</w:t>
                  </w:r>
                  <w:r>
                    <w:rPr>
                      <w:rFonts w:hint="default" w:ascii="Times New Roman" w:hAnsi="Times New Roman" w:cs="Times New Roman"/>
                      <w:color w:val="auto"/>
                      <w:sz w:val="21"/>
                      <w:szCs w:val="21"/>
                      <w:vertAlign w:val="superscript"/>
                      <w:lang w:val="en-US" w:eastAsia="zh-CN"/>
                    </w:rPr>
                    <w:t>2</w:t>
                  </w:r>
                  <w:r>
                    <w:rPr>
                      <w:rFonts w:hint="default" w:ascii="Times New Roman" w:hAnsi="Times New Roman" w:cs="Times New Roman"/>
                      <w:color w:val="auto"/>
                      <w:sz w:val="21"/>
                      <w:szCs w:val="21"/>
                      <w:lang w:val="en-US" w:eastAsia="zh-CN"/>
                    </w:rPr>
                    <w:t>，用于成品打包带的存放</w:t>
                  </w:r>
                </w:p>
              </w:tc>
              <w:tc>
                <w:tcPr>
                  <w:tcW w:w="673"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restar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公用工程</w:t>
                  </w:r>
                </w:p>
              </w:tc>
              <w:tc>
                <w:tcPr>
                  <w:tcW w:w="1219" w:type="dxa"/>
                  <w:gridSpan w:val="2"/>
                  <w:tcBorders>
                    <w:tl2br w:val="nil"/>
                    <w:tr2bl w:val="nil"/>
                  </w:tcBorders>
                  <w:noWrap w:val="0"/>
                  <w:vAlign w:val="center"/>
                </w:tcPr>
                <w:p>
                  <w:pPr>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供水</w:t>
                  </w:r>
                </w:p>
              </w:tc>
              <w:tc>
                <w:tcPr>
                  <w:tcW w:w="5702"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由双桥工业园区市政给水管网直接供给</w:t>
                  </w:r>
                </w:p>
              </w:tc>
              <w:tc>
                <w:tcPr>
                  <w:tcW w:w="673"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1219" w:type="dxa"/>
                  <w:gridSpan w:val="2"/>
                  <w:tcBorders>
                    <w:tl2br w:val="nil"/>
                    <w:tr2bl w:val="nil"/>
                  </w:tcBorders>
                  <w:noWrap w:val="0"/>
                  <w:vAlign w:val="center"/>
                </w:tcPr>
                <w:p>
                  <w:pPr>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排水</w:t>
                  </w:r>
                </w:p>
              </w:tc>
              <w:tc>
                <w:tcPr>
                  <w:tcW w:w="570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采用雨污分流制：</w:t>
                  </w:r>
                </w:p>
                <w:p>
                  <w:pPr>
                    <w:pStyle w:val="45"/>
                    <w:bidi w:val="0"/>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雨水经厂内雨水管网汇集后排入市政雨水管网；</w:t>
                  </w:r>
                  <w:r>
                    <w:rPr>
                      <w:rFonts w:hint="eastAsia" w:ascii="Times New Roman" w:hAnsi="Times New Roman" w:cs="Times New Roman"/>
                      <w:color w:val="auto"/>
                      <w:sz w:val="21"/>
                      <w:szCs w:val="21"/>
                      <w:lang w:val="en-US" w:eastAsia="zh-CN"/>
                    </w:rPr>
                    <w:t>废水</w:t>
                  </w:r>
                  <w:r>
                    <w:rPr>
                      <w:rFonts w:hint="default" w:ascii="Times New Roman" w:hAnsi="Times New Roman" w:cs="Times New Roman"/>
                      <w:color w:val="auto"/>
                      <w:sz w:val="21"/>
                      <w:szCs w:val="21"/>
                    </w:rPr>
                    <w:t>经厂内</w:t>
                  </w:r>
                  <w:r>
                    <w:rPr>
                      <w:rFonts w:hint="eastAsia" w:ascii="Times New Roman" w:hAnsi="Times New Roman" w:cs="Times New Roman"/>
                      <w:color w:val="auto"/>
                      <w:sz w:val="21"/>
                      <w:szCs w:val="21"/>
                      <w:lang w:val="en-US" w:eastAsia="zh-CN"/>
                    </w:rPr>
                    <w:t>隔油池及生化池</w:t>
                  </w:r>
                  <w:r>
                    <w:rPr>
                      <w:rFonts w:hint="default" w:ascii="Times New Roman" w:hAnsi="Times New Roman" w:cs="Times New Roman"/>
                      <w:color w:val="auto"/>
                      <w:sz w:val="21"/>
                      <w:szCs w:val="21"/>
                    </w:rPr>
                    <w:t>预处理</w:t>
                  </w:r>
                  <w:r>
                    <w:rPr>
                      <w:rFonts w:hint="default" w:ascii="Times New Roman" w:hAnsi="Times New Roman" w:cs="Times New Roman"/>
                      <w:color w:val="auto"/>
                      <w:sz w:val="21"/>
                      <w:szCs w:val="21"/>
                      <w:lang w:val="en-US" w:eastAsia="zh-CN"/>
                    </w:rPr>
                    <w:t>达标</w:t>
                  </w:r>
                  <w:r>
                    <w:rPr>
                      <w:rFonts w:hint="default" w:ascii="Times New Roman" w:hAnsi="Times New Roman" w:cs="Times New Roman"/>
                      <w:color w:val="auto"/>
                      <w:sz w:val="21"/>
                      <w:szCs w:val="21"/>
                    </w:rPr>
                    <w:t>后</w:t>
                  </w:r>
                  <w:r>
                    <w:rPr>
                      <w:rFonts w:hint="default" w:ascii="Times New Roman" w:hAnsi="Times New Roman" w:cs="Times New Roman"/>
                      <w:color w:val="auto"/>
                      <w:sz w:val="21"/>
                      <w:szCs w:val="21"/>
                      <w:lang w:val="en-US" w:eastAsia="zh-CN"/>
                    </w:rPr>
                    <w:t>通过市政</w:t>
                  </w:r>
                  <w:r>
                    <w:rPr>
                      <w:rFonts w:hint="default" w:ascii="Times New Roman" w:hAnsi="Times New Roman" w:cs="Times New Roman"/>
                      <w:color w:val="auto"/>
                      <w:sz w:val="21"/>
                      <w:szCs w:val="21"/>
                    </w:rPr>
                    <w:t>污水管网进入</w:t>
                  </w:r>
                  <w:r>
                    <w:rPr>
                      <w:rFonts w:hint="default" w:ascii="Times New Roman" w:hAnsi="Times New Roman" w:cs="Times New Roman"/>
                      <w:color w:val="auto"/>
                      <w:sz w:val="21"/>
                      <w:szCs w:val="21"/>
                      <w:lang w:eastAsia="zh-CN"/>
                    </w:rPr>
                    <w:t>双桥污水处理厂，</w:t>
                  </w:r>
                  <w:r>
                    <w:rPr>
                      <w:rFonts w:hint="default" w:ascii="Times New Roman" w:hAnsi="Times New Roman" w:cs="Times New Roman"/>
                      <w:color w:val="auto"/>
                      <w:sz w:val="21"/>
                      <w:szCs w:val="21"/>
                    </w:rPr>
                    <w:t>处理</w:t>
                  </w:r>
                  <w:r>
                    <w:rPr>
                      <w:rFonts w:hint="default" w:ascii="Times New Roman" w:hAnsi="Times New Roman" w:cs="Times New Roman"/>
                      <w:color w:val="auto"/>
                      <w:sz w:val="21"/>
                      <w:szCs w:val="21"/>
                      <w:lang w:val="en-US" w:eastAsia="zh-CN"/>
                    </w:rPr>
                    <w:t>达标后</w:t>
                  </w:r>
                  <w:r>
                    <w:rPr>
                      <w:rFonts w:hint="eastAsia" w:ascii="Times New Roman" w:hAnsi="Times New Roman" w:cs="Times New Roman"/>
                      <w:color w:val="auto"/>
                      <w:sz w:val="21"/>
                      <w:szCs w:val="21"/>
                      <w:lang w:val="en-US" w:eastAsia="zh-CN"/>
                    </w:rPr>
                    <w:t>最终</w:t>
                  </w:r>
                  <w:r>
                    <w:rPr>
                      <w:rFonts w:hint="default" w:ascii="Times New Roman" w:hAnsi="Times New Roman" w:cs="Times New Roman"/>
                      <w:color w:val="auto"/>
                      <w:sz w:val="21"/>
                      <w:szCs w:val="21"/>
                      <w:lang w:val="en-US" w:eastAsia="zh-CN"/>
                    </w:rPr>
                    <w:t>排</w:t>
                  </w:r>
                  <w:r>
                    <w:rPr>
                      <w:rFonts w:hint="default" w:ascii="Times New Roman" w:hAnsi="Times New Roman" w:cs="Times New Roman"/>
                      <w:color w:val="auto"/>
                      <w:sz w:val="21"/>
                      <w:szCs w:val="21"/>
                    </w:rPr>
                    <w:t>入</w:t>
                  </w:r>
                  <w:r>
                    <w:rPr>
                      <w:rFonts w:hint="default" w:ascii="Times New Roman" w:hAnsi="Times New Roman" w:cs="Times New Roman"/>
                      <w:color w:val="auto"/>
                      <w:sz w:val="21"/>
                      <w:szCs w:val="21"/>
                      <w:lang w:eastAsia="zh-CN"/>
                    </w:rPr>
                    <w:t>太平河</w:t>
                  </w:r>
                </w:p>
              </w:tc>
              <w:tc>
                <w:tcPr>
                  <w:tcW w:w="673" w:type="dxa"/>
                  <w:tcBorders>
                    <w:tl2br w:val="nil"/>
                    <w:tr2bl w:val="nil"/>
                  </w:tcBorders>
                  <w:noWrap w:val="0"/>
                  <w:vAlign w:val="center"/>
                </w:tcPr>
                <w:p>
                  <w:pPr>
                    <w:pStyle w:val="45"/>
                    <w:bidi w:val="0"/>
                    <w:jc w:val="both"/>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新建+</w:t>
                  </w:r>
                </w:p>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1219" w:type="dxa"/>
                  <w:gridSpan w:val="2"/>
                  <w:tcBorders>
                    <w:tl2br w:val="nil"/>
                    <w:tr2bl w:val="nil"/>
                  </w:tcBorders>
                  <w:noWrap w:val="0"/>
                  <w:vAlign w:val="center"/>
                </w:tcPr>
                <w:p>
                  <w:pPr>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供电</w:t>
                  </w:r>
                </w:p>
              </w:tc>
              <w:tc>
                <w:tcPr>
                  <w:tcW w:w="5702"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lang w:val="en-US" w:eastAsia="zh-CN"/>
                    </w:rPr>
                    <w:t>由双桥工业园区市政供电网直接供给</w:t>
                  </w:r>
                </w:p>
              </w:tc>
              <w:tc>
                <w:tcPr>
                  <w:tcW w:w="673"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1219" w:type="dxa"/>
                  <w:gridSpan w:val="2"/>
                  <w:tcBorders>
                    <w:tl2br w:val="nil"/>
                    <w:tr2bl w:val="nil"/>
                  </w:tcBorders>
                  <w:noWrap w:val="0"/>
                  <w:vAlign w:val="center"/>
                </w:tcPr>
                <w:p>
                  <w:pPr>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循环冷却系统</w:t>
                  </w:r>
                </w:p>
              </w:tc>
              <w:tc>
                <w:tcPr>
                  <w:tcW w:w="5702"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设置2座冷却水塔，配套生产线中的挤塑环节，单台循环能力为20t/h，以“PP打包带生产线+PET打包带生产线”为组合形式提供间接循环冷却水</w:t>
                  </w:r>
                </w:p>
              </w:tc>
              <w:tc>
                <w:tcPr>
                  <w:tcW w:w="673"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restar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环保工程</w:t>
                  </w:r>
                </w:p>
              </w:tc>
              <w:tc>
                <w:tcPr>
                  <w:tcW w:w="1219" w:type="dxa"/>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废气</w:t>
                  </w:r>
                </w:p>
              </w:tc>
              <w:tc>
                <w:tcPr>
                  <w:tcW w:w="5702" w:type="dxa"/>
                  <w:tcBorders>
                    <w:tl2br w:val="nil"/>
                    <w:tr2bl w:val="nil"/>
                  </w:tcBorders>
                  <w:noWrap w:val="0"/>
                  <w:vAlign w:val="center"/>
                </w:tcPr>
                <w:p>
                  <w:pPr>
                    <w:pStyle w:val="45"/>
                    <w:bidi w:val="0"/>
                    <w:jc w:val="both"/>
                    <w:rPr>
                      <w:rFonts w:hint="eastAsia" w:cs="Times New Roman"/>
                      <w:color w:val="0000FF"/>
                      <w:sz w:val="21"/>
                      <w:szCs w:val="21"/>
                      <w:lang w:val="en-US" w:eastAsia="zh-CN"/>
                    </w:rPr>
                  </w:pPr>
                  <w:r>
                    <w:rPr>
                      <w:rFonts w:hint="eastAsia" w:cs="Times New Roman"/>
                      <w:color w:val="0000FF"/>
                      <w:sz w:val="21"/>
                      <w:szCs w:val="21"/>
                      <w:lang w:val="en-US" w:eastAsia="zh-CN"/>
                    </w:rPr>
                    <w:t>4条生产线，以“PP打包带生产线+PET打包带生产线”为组合形式，生产线中</w:t>
                  </w:r>
                  <w:r>
                    <w:rPr>
                      <w:rFonts w:hint="default" w:ascii="Times New Roman" w:hAnsi="Times New Roman" w:cs="Times New Roman"/>
                      <w:color w:val="0000FF"/>
                      <w:sz w:val="21"/>
                      <w:szCs w:val="21"/>
                      <w:lang w:val="en-US" w:eastAsia="zh-CN"/>
                    </w:rPr>
                    <w:t>挤塑废气</w:t>
                  </w:r>
                  <w:r>
                    <w:rPr>
                      <w:rFonts w:hint="eastAsia" w:ascii="Times New Roman" w:hAnsi="Times New Roman" w:cs="Times New Roman"/>
                      <w:color w:val="0000FF"/>
                      <w:sz w:val="21"/>
                      <w:szCs w:val="21"/>
                      <w:lang w:val="en-US" w:eastAsia="zh-CN"/>
                    </w:rPr>
                    <w:t>、拉伸废气及定型废气</w:t>
                  </w:r>
                  <w:r>
                    <w:rPr>
                      <w:rFonts w:hint="default" w:ascii="Times New Roman" w:hAnsi="Times New Roman" w:cs="Times New Roman"/>
                      <w:color w:val="0000FF"/>
                      <w:sz w:val="21"/>
                      <w:szCs w:val="21"/>
                      <w:lang w:val="en-US" w:eastAsia="zh-CN"/>
                    </w:rPr>
                    <w:t>采用局部抽风</w:t>
                  </w:r>
                  <w:r>
                    <w:rPr>
                      <w:rFonts w:hint="eastAsia" w:ascii="Times New Roman" w:hAnsi="Times New Roman" w:cs="Times New Roman"/>
                      <w:color w:val="0000FF"/>
                      <w:sz w:val="21"/>
                      <w:szCs w:val="21"/>
                      <w:lang w:val="en-US" w:eastAsia="zh-CN"/>
                    </w:rPr>
                    <w:t>，并将上述废气</w:t>
                  </w:r>
                  <w:r>
                    <w:rPr>
                      <w:rFonts w:hint="default" w:ascii="Times New Roman" w:hAnsi="Times New Roman" w:cs="Times New Roman"/>
                      <w:color w:val="0000FF"/>
                      <w:sz w:val="21"/>
                      <w:szCs w:val="21"/>
                      <w:lang w:val="en-US" w:eastAsia="zh-CN"/>
                    </w:rPr>
                    <w:t>进行</w:t>
                  </w:r>
                  <w:r>
                    <w:rPr>
                      <w:rFonts w:hint="eastAsia" w:cs="Times New Roman"/>
                      <w:color w:val="0000FF"/>
                      <w:sz w:val="21"/>
                      <w:szCs w:val="21"/>
                      <w:lang w:val="en-US" w:eastAsia="zh-CN"/>
                    </w:rPr>
                    <w:t>合并</w:t>
                  </w:r>
                  <w:r>
                    <w:rPr>
                      <w:rFonts w:hint="default" w:ascii="Times New Roman" w:hAnsi="Times New Roman" w:cs="Times New Roman"/>
                      <w:color w:val="0000FF"/>
                      <w:sz w:val="21"/>
                      <w:szCs w:val="21"/>
                      <w:lang w:val="en-US" w:eastAsia="zh-CN"/>
                    </w:rPr>
                    <w:t>收集，</w:t>
                  </w:r>
                  <w:r>
                    <w:rPr>
                      <w:rFonts w:hint="eastAsia" w:ascii="Times New Roman" w:hAnsi="Times New Roman" w:cs="Times New Roman"/>
                      <w:color w:val="0000FF"/>
                      <w:sz w:val="21"/>
                      <w:szCs w:val="21"/>
                      <w:lang w:val="en-US" w:eastAsia="zh-CN"/>
                    </w:rPr>
                    <w:t>经由“</w:t>
                  </w:r>
                  <w:r>
                    <w:rPr>
                      <w:rFonts w:hint="default" w:ascii="Times New Roman" w:hAnsi="Times New Roman" w:cs="Times New Roman"/>
                      <w:color w:val="0000FF"/>
                      <w:sz w:val="21"/>
                      <w:szCs w:val="21"/>
                      <w:lang w:val="en-US" w:eastAsia="zh-CN"/>
                    </w:rPr>
                    <w:t>UV光解+活性炭吸附装置</w:t>
                  </w:r>
                  <w:r>
                    <w:rPr>
                      <w:rFonts w:hint="eastAsia" w:ascii="Times New Roman" w:hAnsi="Times New Roman" w:cs="Times New Roman"/>
                      <w:color w:val="0000FF"/>
                      <w:sz w:val="21"/>
                      <w:szCs w:val="21"/>
                      <w:lang w:val="en-US" w:eastAsia="zh-CN"/>
                    </w:rPr>
                    <w:t>”</w:t>
                  </w:r>
                  <w:r>
                    <w:rPr>
                      <w:rFonts w:hint="eastAsia" w:cs="Times New Roman"/>
                      <w:color w:val="0000FF"/>
                      <w:sz w:val="21"/>
                      <w:szCs w:val="21"/>
                      <w:lang w:val="en-US" w:eastAsia="zh-CN"/>
                    </w:rPr>
                    <w:t>（共计2套废气处理设备）</w:t>
                  </w:r>
                  <w:r>
                    <w:rPr>
                      <w:rFonts w:hint="default" w:ascii="Times New Roman" w:hAnsi="Times New Roman" w:cs="Times New Roman"/>
                      <w:color w:val="0000FF"/>
                      <w:sz w:val="21"/>
                      <w:szCs w:val="21"/>
                      <w:lang w:val="en-US" w:eastAsia="zh-CN"/>
                    </w:rPr>
                    <w:t>处理后，</w:t>
                  </w:r>
                  <w:r>
                    <w:rPr>
                      <w:rFonts w:hint="eastAsia" w:cs="Times New Roman"/>
                      <w:color w:val="0000FF"/>
                      <w:sz w:val="21"/>
                      <w:szCs w:val="21"/>
                      <w:lang w:val="en-US" w:eastAsia="zh-CN"/>
                    </w:rPr>
                    <w:t>分别</w:t>
                  </w:r>
                  <w:r>
                    <w:rPr>
                      <w:rFonts w:hint="default" w:ascii="Times New Roman" w:hAnsi="Times New Roman" w:cs="Times New Roman"/>
                      <w:color w:val="0000FF"/>
                      <w:sz w:val="21"/>
                      <w:szCs w:val="21"/>
                      <w:lang w:val="en-US" w:eastAsia="zh-CN"/>
                    </w:rPr>
                    <w:t>由1根</w:t>
                  </w:r>
                  <w:r>
                    <w:rPr>
                      <w:rFonts w:hint="eastAsia" w:cs="Times New Roman"/>
                      <w:color w:val="0000FF"/>
                      <w:sz w:val="21"/>
                      <w:szCs w:val="21"/>
                      <w:lang w:val="en-US" w:eastAsia="zh-CN"/>
                    </w:rPr>
                    <w:t>15m</w:t>
                  </w:r>
                  <w:r>
                    <w:rPr>
                      <w:rFonts w:hint="default" w:ascii="Times New Roman" w:hAnsi="Times New Roman" w:cs="Times New Roman"/>
                      <w:color w:val="0000FF"/>
                      <w:sz w:val="21"/>
                      <w:szCs w:val="21"/>
                      <w:lang w:val="en-US" w:eastAsia="zh-CN"/>
                    </w:rPr>
                    <w:t>高排气筒</w:t>
                  </w:r>
                  <w:r>
                    <w:rPr>
                      <w:rFonts w:hint="eastAsia" w:cs="Times New Roman"/>
                      <w:color w:val="0000FF"/>
                      <w:sz w:val="21"/>
                      <w:szCs w:val="21"/>
                      <w:lang w:val="en-US" w:eastAsia="zh-CN"/>
                    </w:rPr>
                    <w:t>（共计2根排气筒）</w:t>
                  </w:r>
                  <w:r>
                    <w:rPr>
                      <w:rFonts w:hint="default" w:ascii="Times New Roman" w:hAnsi="Times New Roman" w:cs="Times New Roman"/>
                      <w:color w:val="0000FF"/>
                      <w:sz w:val="21"/>
                      <w:szCs w:val="21"/>
                      <w:lang w:val="en-US" w:eastAsia="zh-CN"/>
                    </w:rPr>
                    <w:t>排放</w:t>
                  </w:r>
                  <w:r>
                    <w:rPr>
                      <w:rFonts w:hint="eastAsia" w:cs="Times New Roman"/>
                      <w:color w:val="0000FF"/>
                      <w:sz w:val="21"/>
                      <w:szCs w:val="21"/>
                      <w:lang w:val="en-US" w:eastAsia="zh-CN"/>
                    </w:rPr>
                    <w:t>；</w:t>
                  </w:r>
                </w:p>
                <w:p>
                  <w:pPr>
                    <w:pStyle w:val="45"/>
                    <w:bidi w:val="0"/>
                    <w:jc w:val="both"/>
                    <w:rPr>
                      <w:rFonts w:hint="default" w:ascii="Times New Roman" w:hAnsi="Times New Roman" w:eastAsia="宋体" w:cs="Times New Roman"/>
                      <w:color w:val="auto"/>
                      <w:sz w:val="21"/>
                      <w:szCs w:val="21"/>
                      <w:lang w:val="en-US" w:eastAsia="zh-CN"/>
                    </w:rPr>
                  </w:pPr>
                  <w:r>
                    <w:rPr>
                      <w:rFonts w:hint="eastAsia" w:cs="Times New Roman"/>
                      <w:color w:val="0000FF"/>
                      <w:sz w:val="21"/>
                      <w:szCs w:val="21"/>
                      <w:lang w:val="en-US" w:eastAsia="zh-CN"/>
                    </w:rPr>
                    <w:t>食堂油烟经油烟净化器净化后伸顶排放。</w:t>
                  </w:r>
                </w:p>
              </w:tc>
              <w:tc>
                <w:tcPr>
                  <w:tcW w:w="673"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1219" w:type="dxa"/>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废水</w:t>
                  </w:r>
                </w:p>
              </w:tc>
              <w:tc>
                <w:tcPr>
                  <w:tcW w:w="5702"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食堂废水经隔油池</w:t>
                  </w:r>
                  <w:r>
                    <w:rPr>
                      <w:rFonts w:hint="default" w:ascii="Times New Roman" w:hAnsi="Times New Roman" w:cs="Times New Roman"/>
                      <w:color w:val="auto"/>
                      <w:sz w:val="21"/>
                      <w:szCs w:val="21"/>
                      <w:lang w:eastAsia="zh-CN"/>
                    </w:rPr>
                    <w:t>（</w:t>
                  </w:r>
                  <w:r>
                    <w:rPr>
                      <w:rFonts w:hint="eastAsia" w:cs="Times New Roman"/>
                      <w:color w:val="0000FF"/>
                      <w:sz w:val="21"/>
                      <w:szCs w:val="21"/>
                      <w:lang w:val="en-US" w:eastAsia="zh-CN"/>
                    </w:rPr>
                    <w:t>新建，</w:t>
                  </w:r>
                  <w:r>
                    <w:rPr>
                      <w:rFonts w:hint="default" w:ascii="Times New Roman" w:hAnsi="Times New Roman" w:cs="Times New Roman"/>
                      <w:color w:val="0000FF"/>
                      <w:sz w:val="21"/>
                      <w:szCs w:val="21"/>
                      <w:lang w:val="en-US" w:eastAsia="zh-CN"/>
                    </w:rPr>
                    <w:t>处理能力</w:t>
                  </w:r>
                  <w:r>
                    <w:rPr>
                      <w:rFonts w:hint="eastAsia" w:cs="Times New Roman"/>
                      <w:color w:val="0000FF"/>
                      <w:sz w:val="21"/>
                      <w:szCs w:val="21"/>
                      <w:lang w:val="en-US" w:eastAsia="zh-CN"/>
                    </w:rPr>
                    <w:t>2</w:t>
                  </w:r>
                  <w:r>
                    <w:rPr>
                      <w:rFonts w:hint="default" w:ascii="Times New Roman" w:hAnsi="Times New Roman" w:cs="Times New Roman"/>
                      <w:color w:val="0000FF"/>
                      <w:sz w:val="21"/>
                      <w:szCs w:val="21"/>
                      <w:lang w:val="en-US" w:eastAsia="zh-CN"/>
                    </w:rPr>
                    <w:t>m</w:t>
                  </w:r>
                  <w:r>
                    <w:rPr>
                      <w:rFonts w:hint="default" w:ascii="Times New Roman" w:hAnsi="Times New Roman" w:cs="Times New Roman"/>
                      <w:color w:val="0000FF"/>
                      <w:sz w:val="21"/>
                      <w:szCs w:val="21"/>
                      <w:vertAlign w:val="superscript"/>
                      <w:lang w:val="en-US" w:eastAsia="zh-CN"/>
                    </w:rPr>
                    <w:t>3</w:t>
                  </w:r>
                  <w:r>
                    <w:rPr>
                      <w:rFonts w:hint="default" w:ascii="Times New Roman" w:hAnsi="Times New Roman" w:cs="Times New Roman"/>
                      <w:color w:val="0000FF"/>
                      <w:sz w:val="21"/>
                      <w:szCs w:val="21"/>
                      <w:lang w:val="en-US" w:eastAsia="zh-CN"/>
                    </w:rPr>
                    <w:t>/d</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隔油预处理后，</w:t>
                  </w:r>
                  <w:r>
                    <w:rPr>
                      <w:rFonts w:hint="eastAsia" w:cs="Times New Roman"/>
                      <w:color w:val="auto"/>
                      <w:sz w:val="21"/>
                      <w:szCs w:val="21"/>
                      <w:lang w:val="en-US" w:eastAsia="zh-CN"/>
                    </w:rPr>
                    <w:t>与其他污废水</w:t>
                  </w:r>
                  <w:r>
                    <w:rPr>
                      <w:rFonts w:hint="eastAsia" w:cs="Times New Roman"/>
                      <w:color w:val="0000FF"/>
                      <w:sz w:val="21"/>
                      <w:szCs w:val="21"/>
                      <w:lang w:val="en-US" w:eastAsia="zh-CN"/>
                    </w:rPr>
                    <w:t>（其他生活污水及地面清洁废水）</w:t>
                  </w:r>
                  <w:r>
                    <w:rPr>
                      <w:rFonts w:hint="default" w:ascii="Times New Roman" w:hAnsi="Times New Roman" w:cs="Times New Roman"/>
                      <w:color w:val="auto"/>
                      <w:sz w:val="21"/>
                      <w:szCs w:val="21"/>
                    </w:rPr>
                    <w:t>经</w:t>
                  </w:r>
                  <w:r>
                    <w:rPr>
                      <w:rFonts w:hint="eastAsia" w:ascii="Times New Roman" w:hAnsi="Times New Roman" w:cs="Times New Roman"/>
                      <w:color w:val="auto"/>
                      <w:sz w:val="21"/>
                      <w:szCs w:val="21"/>
                      <w:lang w:val="en-US" w:eastAsia="zh-CN"/>
                    </w:rPr>
                    <w:t>厂区内已建</w:t>
                  </w:r>
                  <w:r>
                    <w:rPr>
                      <w:rFonts w:hint="default" w:ascii="Times New Roman" w:hAnsi="Times New Roman" w:cs="Times New Roman"/>
                      <w:color w:val="auto"/>
                      <w:sz w:val="21"/>
                      <w:szCs w:val="21"/>
                      <w:lang w:val="en-US" w:eastAsia="zh-CN"/>
                    </w:rPr>
                    <w:t>生化</w:t>
                  </w:r>
                  <w:r>
                    <w:rPr>
                      <w:rFonts w:hint="default" w:ascii="Times New Roman" w:hAnsi="Times New Roman" w:cs="Times New Roman"/>
                      <w:color w:val="auto"/>
                      <w:sz w:val="21"/>
                      <w:szCs w:val="21"/>
                    </w:rPr>
                    <w:t>池</w:t>
                  </w:r>
                  <w:r>
                    <w:rPr>
                      <w:rFonts w:hint="default" w:ascii="Times New Roman" w:hAnsi="Times New Roman" w:cs="Times New Roman"/>
                      <w:color w:val="auto"/>
                      <w:sz w:val="21"/>
                      <w:szCs w:val="21"/>
                      <w:lang w:eastAsia="zh-CN"/>
                    </w:rPr>
                    <w:t>（</w:t>
                  </w:r>
                  <w:r>
                    <w:rPr>
                      <w:rFonts w:hint="eastAsia" w:cs="Times New Roman"/>
                      <w:color w:val="0000FF"/>
                      <w:sz w:val="21"/>
                      <w:szCs w:val="21"/>
                      <w:lang w:val="en-US" w:eastAsia="zh-CN"/>
                    </w:rPr>
                    <w:t>依托，</w:t>
                  </w:r>
                  <w:r>
                    <w:rPr>
                      <w:rFonts w:hint="default" w:ascii="Times New Roman" w:hAnsi="Times New Roman" w:cs="Times New Roman"/>
                      <w:color w:val="0000FF"/>
                      <w:sz w:val="21"/>
                      <w:szCs w:val="21"/>
                      <w:lang w:val="en-US" w:eastAsia="zh-CN"/>
                    </w:rPr>
                    <w:t>处理能力</w:t>
                  </w:r>
                  <w:r>
                    <w:rPr>
                      <w:rFonts w:hint="eastAsia" w:cs="Times New Roman"/>
                      <w:color w:val="0000FF"/>
                      <w:sz w:val="21"/>
                      <w:szCs w:val="21"/>
                      <w:lang w:val="en-US" w:eastAsia="zh-CN"/>
                    </w:rPr>
                    <w:t>5</w:t>
                  </w:r>
                  <w:r>
                    <w:rPr>
                      <w:rFonts w:hint="default" w:ascii="Times New Roman" w:hAnsi="Times New Roman" w:cs="Times New Roman"/>
                      <w:color w:val="0000FF"/>
                      <w:sz w:val="21"/>
                      <w:szCs w:val="21"/>
                      <w:lang w:val="en-US" w:eastAsia="zh-CN"/>
                    </w:rPr>
                    <w:t>m</w:t>
                  </w:r>
                  <w:r>
                    <w:rPr>
                      <w:rFonts w:hint="default" w:ascii="Times New Roman" w:hAnsi="Times New Roman" w:cs="Times New Roman"/>
                      <w:color w:val="0000FF"/>
                      <w:sz w:val="21"/>
                      <w:szCs w:val="21"/>
                      <w:vertAlign w:val="superscript"/>
                      <w:lang w:val="en-US" w:eastAsia="zh-CN"/>
                    </w:rPr>
                    <w:t>3</w:t>
                  </w:r>
                  <w:r>
                    <w:rPr>
                      <w:rFonts w:hint="default" w:ascii="Times New Roman" w:hAnsi="Times New Roman" w:cs="Times New Roman"/>
                      <w:color w:val="0000FF"/>
                      <w:sz w:val="21"/>
                      <w:szCs w:val="21"/>
                      <w:lang w:val="en-US" w:eastAsia="zh-CN"/>
                    </w:rPr>
                    <w:t>/d</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处理达标后通过市政污水管网进入</w:t>
                  </w:r>
                  <w:r>
                    <w:rPr>
                      <w:rFonts w:hint="default" w:ascii="Times New Roman" w:hAnsi="Times New Roman" w:cs="Times New Roman"/>
                      <w:color w:val="auto"/>
                      <w:sz w:val="21"/>
                      <w:szCs w:val="21"/>
                      <w:lang w:eastAsia="zh-CN"/>
                    </w:rPr>
                    <w:t>双桥污水处理厂</w:t>
                  </w:r>
                  <w:r>
                    <w:rPr>
                      <w:rFonts w:hint="default" w:ascii="Times New Roman" w:hAnsi="Times New Roman" w:cs="Times New Roman"/>
                      <w:color w:val="auto"/>
                      <w:sz w:val="21"/>
                      <w:szCs w:val="21"/>
                    </w:rPr>
                    <w:t>，处理达标后</w:t>
                  </w:r>
                  <w:r>
                    <w:rPr>
                      <w:rFonts w:hint="default" w:ascii="Times New Roman" w:hAnsi="Times New Roman" w:cs="Times New Roman"/>
                      <w:color w:val="auto"/>
                      <w:sz w:val="21"/>
                      <w:szCs w:val="21"/>
                      <w:lang w:val="en-US" w:eastAsia="zh-CN"/>
                    </w:rPr>
                    <w:t>排入</w:t>
                  </w:r>
                  <w:r>
                    <w:rPr>
                      <w:rFonts w:hint="default" w:ascii="Times New Roman" w:hAnsi="Times New Roman" w:cs="Times New Roman"/>
                      <w:color w:val="auto"/>
                      <w:sz w:val="21"/>
                      <w:szCs w:val="21"/>
                      <w:lang w:eastAsia="zh-CN"/>
                    </w:rPr>
                    <w:t>太平河</w:t>
                  </w:r>
                </w:p>
              </w:tc>
              <w:tc>
                <w:tcPr>
                  <w:tcW w:w="673"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r>
                    <w:rPr>
                      <w:rFonts w:hint="eastAsia" w:cs="Times New Roman"/>
                      <w:color w:val="auto"/>
                      <w:sz w:val="21"/>
                      <w:szCs w:val="21"/>
                      <w:lang w:val="en-US" w:eastAsia="zh-CN"/>
                    </w:rPr>
                    <w:t>+依托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1219" w:type="dxa"/>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噪声</w:t>
                  </w:r>
                </w:p>
              </w:tc>
              <w:tc>
                <w:tcPr>
                  <w:tcW w:w="570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采用消声、墙体隔声、基础减振等措施</w:t>
                  </w:r>
                </w:p>
              </w:tc>
              <w:tc>
                <w:tcPr>
                  <w:tcW w:w="673"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344" w:type="dxa"/>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固体废物</w:t>
                  </w:r>
                </w:p>
              </w:tc>
              <w:tc>
                <w:tcPr>
                  <w:tcW w:w="875"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一般工业固废</w:t>
                  </w:r>
                </w:p>
              </w:tc>
              <w:tc>
                <w:tcPr>
                  <w:tcW w:w="5702" w:type="dxa"/>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设一般工业固废暂存</w:t>
                  </w:r>
                  <w:r>
                    <w:rPr>
                      <w:rFonts w:hint="eastAsia" w:ascii="Times New Roman" w:hAnsi="Times New Roman" w:cs="Times New Roman"/>
                      <w:color w:val="auto"/>
                      <w:sz w:val="21"/>
                      <w:szCs w:val="21"/>
                      <w:lang w:val="en-US" w:eastAsia="zh-CN"/>
                    </w:rPr>
                    <w:t>区</w:t>
                  </w:r>
                  <w:r>
                    <w:rPr>
                      <w:rFonts w:hint="default" w:ascii="Times New Roman" w:hAnsi="Times New Roman" w:cs="Times New Roman"/>
                      <w:color w:val="auto"/>
                      <w:sz w:val="21"/>
                      <w:szCs w:val="21"/>
                      <w:lang w:val="en-US" w:eastAsia="zh-CN"/>
                    </w:rPr>
                    <w:t>1处，位于厂区</w:t>
                  </w:r>
                  <w:r>
                    <w:rPr>
                      <w:rFonts w:hint="eastAsia" w:cs="Times New Roman"/>
                      <w:color w:val="auto"/>
                      <w:sz w:val="21"/>
                      <w:szCs w:val="21"/>
                      <w:lang w:val="en-US" w:eastAsia="zh-CN"/>
                    </w:rPr>
                    <w:t>东</w:t>
                  </w:r>
                  <w:r>
                    <w:rPr>
                      <w:rFonts w:hint="default" w:ascii="Times New Roman" w:hAnsi="Times New Roman" w:cs="Times New Roman"/>
                      <w:color w:val="auto"/>
                      <w:sz w:val="21"/>
                      <w:szCs w:val="21"/>
                      <w:lang w:val="en-US" w:eastAsia="zh-CN"/>
                    </w:rPr>
                    <w:t>侧，占地面积约</w:t>
                  </w:r>
                  <w:r>
                    <w:rPr>
                      <w:rFonts w:hint="eastAsia" w:cs="Times New Roman"/>
                      <w:color w:val="auto"/>
                      <w:sz w:val="21"/>
                      <w:szCs w:val="21"/>
                      <w:lang w:val="en-US" w:eastAsia="zh-CN"/>
                    </w:rPr>
                    <w:t>5</w:t>
                  </w:r>
                  <w:r>
                    <w:rPr>
                      <w:rFonts w:hint="default" w:ascii="Times New Roman" w:hAnsi="Times New Roman" w:cs="Times New Roman"/>
                      <w:color w:val="auto"/>
                      <w:sz w:val="21"/>
                      <w:szCs w:val="21"/>
                      <w:lang w:val="en-US" w:eastAsia="zh-CN"/>
                    </w:rPr>
                    <w:t>m</w:t>
                  </w:r>
                  <w:r>
                    <w:rPr>
                      <w:rFonts w:hint="default" w:ascii="Times New Roman" w:hAnsi="Times New Roman" w:cs="Times New Roman"/>
                      <w:color w:val="auto"/>
                      <w:sz w:val="21"/>
                      <w:szCs w:val="21"/>
                      <w:vertAlign w:val="superscript"/>
                      <w:lang w:val="en-US" w:eastAsia="zh-CN"/>
                    </w:rPr>
                    <w:t>2</w:t>
                  </w:r>
                </w:p>
              </w:tc>
              <w:tc>
                <w:tcPr>
                  <w:tcW w:w="673" w:type="dxa"/>
                  <w:vMerge w:val="restar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344"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875"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危险</w:t>
                  </w:r>
                </w:p>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废物</w:t>
                  </w:r>
                </w:p>
              </w:tc>
              <w:tc>
                <w:tcPr>
                  <w:tcW w:w="570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设危废暂存</w:t>
                  </w:r>
                  <w:r>
                    <w:rPr>
                      <w:rFonts w:hint="eastAsia" w:ascii="Times New Roman" w:hAnsi="Times New Roman" w:cs="Times New Roman"/>
                      <w:color w:val="auto"/>
                      <w:sz w:val="21"/>
                      <w:szCs w:val="21"/>
                      <w:lang w:val="en-US" w:eastAsia="zh-CN"/>
                    </w:rPr>
                    <w:t>区</w:t>
                  </w:r>
                  <w:r>
                    <w:rPr>
                      <w:rFonts w:hint="default" w:ascii="Times New Roman" w:hAnsi="Times New Roman" w:cs="Times New Roman"/>
                      <w:color w:val="auto"/>
                      <w:sz w:val="21"/>
                      <w:szCs w:val="21"/>
                      <w:lang w:val="en-US" w:eastAsia="zh-CN"/>
                    </w:rPr>
                    <w:t>1处，位于厂区</w:t>
                  </w:r>
                  <w:r>
                    <w:rPr>
                      <w:rFonts w:hint="eastAsia" w:cs="Times New Roman"/>
                      <w:color w:val="auto"/>
                      <w:sz w:val="21"/>
                      <w:szCs w:val="21"/>
                      <w:lang w:val="en-US" w:eastAsia="zh-CN"/>
                    </w:rPr>
                    <w:t>东</w:t>
                  </w:r>
                  <w:r>
                    <w:rPr>
                      <w:rFonts w:hint="default" w:ascii="Times New Roman" w:hAnsi="Times New Roman" w:cs="Times New Roman"/>
                      <w:color w:val="auto"/>
                      <w:sz w:val="21"/>
                      <w:szCs w:val="21"/>
                      <w:lang w:val="en-US" w:eastAsia="zh-CN"/>
                    </w:rPr>
                    <w:t>侧，占地面积约</w:t>
                  </w:r>
                  <w:r>
                    <w:rPr>
                      <w:rFonts w:hint="eastAsia" w:cs="Times New Roman"/>
                      <w:color w:val="auto"/>
                      <w:sz w:val="21"/>
                      <w:szCs w:val="21"/>
                      <w:lang w:val="en-US" w:eastAsia="zh-CN"/>
                    </w:rPr>
                    <w:t>5</w:t>
                  </w:r>
                  <w:r>
                    <w:rPr>
                      <w:rFonts w:hint="default" w:ascii="Times New Roman" w:hAnsi="Times New Roman" w:cs="Times New Roman"/>
                      <w:color w:val="auto"/>
                      <w:sz w:val="21"/>
                      <w:szCs w:val="21"/>
                      <w:lang w:val="en-US" w:eastAsia="zh-CN"/>
                    </w:rPr>
                    <w:t>m</w:t>
                  </w:r>
                  <w:r>
                    <w:rPr>
                      <w:rFonts w:hint="default" w:ascii="Times New Roman" w:hAnsi="Times New Roman" w:cs="Times New Roman"/>
                      <w:color w:val="auto"/>
                      <w:sz w:val="21"/>
                      <w:szCs w:val="21"/>
                      <w:vertAlign w:val="superscript"/>
                      <w:lang w:val="en-US" w:eastAsia="zh-CN"/>
                    </w:rPr>
                    <w:t>2</w:t>
                  </w:r>
                </w:p>
              </w:tc>
              <w:tc>
                <w:tcPr>
                  <w:tcW w:w="673"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2"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344"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875"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生活</w:t>
                  </w:r>
                </w:p>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垃圾</w:t>
                  </w:r>
                </w:p>
              </w:tc>
              <w:tc>
                <w:tcPr>
                  <w:tcW w:w="570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厂区设置零散生活垃圾桶</w:t>
                  </w:r>
                </w:p>
              </w:tc>
              <w:tc>
                <w:tcPr>
                  <w:tcW w:w="673" w:type="dxa"/>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bl>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5.主要设备</w:t>
            </w:r>
          </w:p>
          <w:p>
            <w:pPr>
              <w:pStyle w:val="43"/>
              <w:bidi w:val="0"/>
              <w:rPr>
                <w:rFonts w:hint="default" w:ascii="Times New Roman" w:hAnsi="Times New Roman" w:cs="Times New Roman"/>
                <w:color w:val="auto"/>
              </w:rPr>
            </w:pPr>
            <w:r>
              <w:rPr>
                <w:rFonts w:hint="default" w:ascii="Times New Roman" w:hAnsi="Times New Roman" w:cs="Times New Roman"/>
                <w:color w:val="0000FF"/>
                <w:lang w:val="en-US" w:eastAsia="zh-CN"/>
              </w:rPr>
              <w:t>拟建项目</w:t>
            </w:r>
            <w:r>
              <w:rPr>
                <w:rFonts w:hint="eastAsia" w:cs="Times New Roman"/>
                <w:color w:val="0000FF"/>
                <w:lang w:val="en-US" w:eastAsia="zh-CN"/>
              </w:rPr>
              <w:t>共设置4条打包带生产线，其中PP生产线</w:t>
            </w:r>
            <w:r>
              <w:rPr>
                <w:rFonts w:hint="default" w:ascii="Times New Roman" w:hAnsi="Times New Roman" w:eastAsia="宋体" w:cs="Times New Roman"/>
                <w:color w:val="0000FF"/>
                <w:sz w:val="21"/>
                <w:szCs w:val="21"/>
                <w:lang w:val="en-US" w:eastAsia="zh-CN"/>
              </w:rPr>
              <w:t>(SBL-PP20)</w:t>
            </w:r>
            <w:r>
              <w:rPr>
                <w:rFonts w:hint="eastAsia" w:cs="Times New Roman"/>
                <w:color w:val="0000FF"/>
                <w:sz w:val="21"/>
                <w:szCs w:val="21"/>
                <w:lang w:val="en-US" w:eastAsia="zh-CN"/>
              </w:rPr>
              <w:t>共计2条，</w:t>
            </w:r>
            <w:r>
              <w:rPr>
                <w:rFonts w:hint="default" w:ascii="Times New Roman" w:hAnsi="Times New Roman" w:eastAsia="宋体" w:cs="Times New Roman"/>
                <w:color w:val="0000FF"/>
                <w:sz w:val="21"/>
                <w:szCs w:val="21"/>
                <w:lang w:val="en-US" w:eastAsia="zh-CN"/>
              </w:rPr>
              <w:t>PET生产线(SBL-PET30)</w:t>
            </w:r>
            <w:r>
              <w:rPr>
                <w:rFonts w:hint="eastAsia" w:cs="Times New Roman"/>
                <w:color w:val="0000FF"/>
                <w:sz w:val="21"/>
                <w:szCs w:val="21"/>
                <w:lang w:val="en-US" w:eastAsia="zh-CN"/>
              </w:rPr>
              <w:t>共计2条，</w:t>
            </w:r>
            <w:r>
              <w:rPr>
                <w:rFonts w:hint="default" w:ascii="Times New Roman" w:hAnsi="Times New Roman" w:cs="Times New Roman"/>
                <w:color w:val="auto"/>
                <w:lang w:val="en-US" w:eastAsia="zh-CN"/>
              </w:rPr>
              <w:t>主要设备详见下表2-3。</w:t>
            </w:r>
            <w:r>
              <w:rPr>
                <w:rFonts w:hint="default" w:ascii="Times New Roman" w:hAnsi="Times New Roman" w:cs="Times New Roman"/>
                <w:color w:val="auto"/>
              </w:rPr>
              <w:t>对照《产业结构调整指导目录（2019年本）》，拟建项目生产设备均未列入《产业结构调整指导目录（2019年本）》限制、淘汰类设备。</w:t>
            </w: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表2-3  拟建项目主要设备情况</w:t>
            </w:r>
            <w:r>
              <w:rPr>
                <w:rFonts w:hint="eastAsia" w:cs="Times New Roman"/>
                <w:color w:val="auto"/>
                <w:lang w:val="en-US" w:eastAsia="zh-CN"/>
              </w:rPr>
              <w:t>表</w:t>
            </w:r>
          </w:p>
          <w:tbl>
            <w:tblPr>
              <w:tblStyle w:val="19"/>
              <w:tblW w:w="8391"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04"/>
              <w:gridCol w:w="1405"/>
              <w:gridCol w:w="1726"/>
              <w:gridCol w:w="1824"/>
              <w:gridCol w:w="1636"/>
              <w:gridCol w:w="109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序号</w:t>
                  </w:r>
                </w:p>
              </w:tc>
              <w:tc>
                <w:tcPr>
                  <w:tcW w:w="3131" w:type="dxa"/>
                  <w:gridSpan w:val="2"/>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设备名称</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规格</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单条生产线</w:t>
                  </w:r>
                  <w:r>
                    <w:rPr>
                      <w:rFonts w:hint="default" w:ascii="Times New Roman" w:hAnsi="Times New Roman" w:eastAsia="宋体" w:cs="Times New Roman"/>
                      <w:color w:val="auto"/>
                      <w:sz w:val="21"/>
                      <w:szCs w:val="21"/>
                      <w:lang w:val="en-US" w:eastAsia="zh-CN"/>
                    </w:rPr>
                    <w:t>数量</w:t>
                  </w:r>
                  <w:r>
                    <w:rPr>
                      <w:rFonts w:hint="default"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台/套</w:t>
                  </w:r>
                  <w:r>
                    <w:rPr>
                      <w:rFonts w:hint="default" w:ascii="Times New Roman" w:hAnsi="Times New Roman" w:cs="Times New Roman"/>
                      <w:color w:val="auto"/>
                      <w:sz w:val="21"/>
                      <w:szCs w:val="21"/>
                      <w:lang w:val="en-US" w:eastAsia="zh-CN"/>
                    </w:rPr>
                    <w:t>)</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使用环节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1</w:t>
                  </w:r>
                </w:p>
              </w:tc>
              <w:tc>
                <w:tcPr>
                  <w:tcW w:w="1405" w:type="dxa"/>
                  <w:vMerge w:val="restart"/>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PP生产线(SBL-PP20)</w:t>
                  </w: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上料机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上料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2</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干燥机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干燥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挤出机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挤出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牵引机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牵引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电热</w:t>
                  </w:r>
                  <w:r>
                    <w:rPr>
                      <w:rFonts w:hint="default" w:ascii="Times New Roman" w:hAnsi="Times New Roman" w:eastAsia="宋体" w:cs="Times New Roman"/>
                      <w:color w:val="auto"/>
                      <w:sz w:val="21"/>
                      <w:szCs w:val="21"/>
                      <w:lang w:val="en-US" w:eastAsia="zh-CN"/>
                    </w:rPr>
                    <w:t>烤箱</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4kw/h</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烘干</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压花机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2.2kw/h</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压花</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定型烤箱</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4kw/h</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2</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定型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8</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sz w:val="21"/>
                      <w:szCs w:val="21"/>
                      <w:lang w:val="en-US" w:eastAsia="zh-CN"/>
                    </w:rPr>
                  </w:pPr>
                  <w:r>
                    <w:rPr>
                      <w:rFonts w:hint="eastAsia" w:ascii="Times New Roman" w:hAnsi="Times New Roman" w:eastAsia="宋体" w:cs="Times New Roman"/>
                      <w:color w:val="0000FF"/>
                      <w:sz w:val="21"/>
                      <w:szCs w:val="21"/>
                      <w:lang w:val="en-US" w:eastAsia="zh-CN"/>
                    </w:rPr>
                    <w:t>冷却水槽</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sz w:val="21"/>
                      <w:szCs w:val="21"/>
                      <w:lang w:val="en-US" w:eastAsia="zh-CN"/>
                    </w:rPr>
                  </w:pPr>
                  <w:r>
                    <w:rPr>
                      <w:rFonts w:hint="eastAsia" w:ascii="Times New Roman" w:hAnsi="Times New Roman" w:eastAsia="宋体" w:cs="Times New Roman"/>
                      <w:color w:val="0000FF"/>
                      <w:sz w:val="21"/>
                      <w:szCs w:val="21"/>
                      <w:lang w:val="en-US" w:eastAsia="zh-CN"/>
                    </w:rPr>
                    <w:t>4m</w:t>
                  </w:r>
                  <w:r>
                    <w:rPr>
                      <w:rFonts w:hint="default" w:ascii="Times New Roman" w:hAnsi="Times New Roman" w:eastAsia="宋体" w:cs="Times New Roman"/>
                      <w:color w:val="0000FF"/>
                      <w:sz w:val="21"/>
                      <w:szCs w:val="21"/>
                      <w:lang w:val="en-US" w:eastAsia="zh-CN"/>
                    </w:rPr>
                    <w:t>×</w:t>
                  </w:r>
                  <w:r>
                    <w:rPr>
                      <w:rFonts w:hint="eastAsia" w:ascii="Times New Roman" w:hAnsi="Times New Roman" w:eastAsia="宋体" w:cs="Times New Roman"/>
                      <w:color w:val="0000FF"/>
                      <w:sz w:val="21"/>
                      <w:szCs w:val="21"/>
                      <w:lang w:val="en-US" w:eastAsia="zh-CN"/>
                    </w:rPr>
                    <w:t>0.4m</w:t>
                  </w:r>
                  <w:r>
                    <w:rPr>
                      <w:rFonts w:hint="default" w:ascii="Times New Roman" w:hAnsi="Times New Roman" w:eastAsia="宋体" w:cs="Times New Roman"/>
                      <w:color w:val="0000FF"/>
                      <w:sz w:val="21"/>
                      <w:szCs w:val="21"/>
                      <w:lang w:val="en-US" w:eastAsia="zh-CN"/>
                    </w:rPr>
                    <w:t>×</w:t>
                  </w:r>
                  <w:r>
                    <w:rPr>
                      <w:rFonts w:hint="eastAsia" w:ascii="Times New Roman" w:hAnsi="Times New Roman" w:eastAsia="宋体" w:cs="Times New Roman"/>
                      <w:color w:val="0000FF"/>
                      <w:sz w:val="21"/>
                      <w:szCs w:val="21"/>
                      <w:lang w:val="en-US" w:eastAsia="zh-CN"/>
                    </w:rPr>
                    <w:t>0.37m</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sz w:val="21"/>
                      <w:szCs w:val="21"/>
                      <w:lang w:val="en-US" w:eastAsia="zh-CN"/>
                    </w:rPr>
                  </w:pPr>
                  <w:r>
                    <w:rPr>
                      <w:rFonts w:hint="eastAsia" w:ascii="Times New Roman" w:hAnsi="Times New Roman" w:eastAsia="宋体" w:cs="Times New Roman"/>
                      <w:color w:val="0000FF"/>
                      <w:sz w:val="21"/>
                      <w:szCs w:val="21"/>
                      <w:lang w:val="en-US" w:eastAsia="zh-CN"/>
                    </w:rPr>
                    <w:t>2</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冷却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9</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cs="Times New Roman"/>
                      <w:color w:val="0000FF"/>
                      <w:sz w:val="21"/>
                      <w:szCs w:val="21"/>
                      <w:lang w:val="en-US" w:eastAsia="zh-CN"/>
                    </w:rPr>
                  </w:pPr>
                  <w:r>
                    <w:rPr>
                      <w:rFonts w:hint="eastAsia" w:cs="Times New Roman"/>
                      <w:color w:val="0000FF"/>
                      <w:sz w:val="21"/>
                      <w:szCs w:val="21"/>
                      <w:lang w:val="en-US" w:eastAsia="zh-CN"/>
                    </w:rPr>
                    <w:t>收卷机</w:t>
                  </w:r>
                </w:p>
              </w:tc>
              <w:tc>
                <w:tcPr>
                  <w:tcW w:w="1824" w:type="dxa"/>
                  <w:tcBorders>
                    <w:tl2br w:val="nil"/>
                    <w:tr2bl w:val="nil"/>
                  </w:tcBorders>
                  <w:shd w:val="clear" w:color="auto" w:fill="auto"/>
                  <w:noWrap/>
                  <w:vAlign w:val="center"/>
                </w:tcPr>
                <w:p>
                  <w:pPr>
                    <w:pStyle w:val="45"/>
                    <w:bidi w:val="0"/>
                    <w:ind w:firstLine="0" w:firstLineChars="0"/>
                    <w:jc w:val="both"/>
                    <w:rPr>
                      <w:rFonts w:hint="default" w:cs="Times New Roman"/>
                      <w:color w:val="0000FF"/>
                      <w:kern w:val="0"/>
                      <w:sz w:val="21"/>
                      <w:szCs w:val="21"/>
                      <w:lang w:val="en-US" w:eastAsia="zh-CN" w:bidi="ar-SA"/>
                    </w:rPr>
                  </w:pPr>
                  <w:r>
                    <w:rPr>
                      <w:rFonts w:hint="eastAsia" w:cs="Times New Roman"/>
                      <w:color w:val="0000FF"/>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cs="Times New Roman"/>
                      <w:color w:val="0000FF"/>
                      <w:kern w:val="0"/>
                      <w:sz w:val="21"/>
                      <w:szCs w:val="21"/>
                      <w:lang w:val="en-US" w:eastAsia="zh-CN" w:bidi="ar-SA"/>
                    </w:rPr>
                  </w:pPr>
                  <w:r>
                    <w:rPr>
                      <w:rFonts w:hint="eastAsia" w:cs="Times New Roman"/>
                      <w:color w:val="0000FF"/>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cs="Times New Roman"/>
                      <w:color w:val="0000FF"/>
                      <w:sz w:val="21"/>
                      <w:szCs w:val="21"/>
                      <w:lang w:val="en-US" w:eastAsia="zh-CN"/>
                    </w:rPr>
                  </w:pPr>
                  <w:r>
                    <w:rPr>
                      <w:rFonts w:hint="eastAsia" w:cs="Times New Roman"/>
                      <w:color w:val="0000FF"/>
                      <w:sz w:val="21"/>
                      <w:szCs w:val="21"/>
                      <w:lang w:val="en-US" w:eastAsia="zh-CN"/>
                    </w:rPr>
                    <w:t>收卷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10</w:t>
                  </w:r>
                </w:p>
              </w:tc>
              <w:tc>
                <w:tcPr>
                  <w:tcW w:w="1405" w:type="dxa"/>
                  <w:vMerge w:val="restart"/>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r>
                    <w:rPr>
                      <w:rFonts w:hint="default" w:ascii="Times New Roman" w:hAnsi="Times New Roman" w:eastAsia="宋体" w:cs="Times New Roman"/>
                      <w:color w:val="auto"/>
                      <w:sz w:val="21"/>
                      <w:szCs w:val="21"/>
                      <w:lang w:val="en-US" w:eastAsia="zh-CN"/>
                    </w:rPr>
                    <w:t>PET生产线(SBL-PET30)</w:t>
                  </w: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上料机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上料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11</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lang w:val="en-US" w:eastAsia="zh-CN"/>
                    </w:rPr>
                    <w:t>烘干</w:t>
                  </w:r>
                  <w:r>
                    <w:rPr>
                      <w:rFonts w:hint="default" w:ascii="Times New Roman" w:hAnsi="Times New Roman" w:eastAsia="宋体" w:cs="Times New Roman"/>
                      <w:color w:val="auto"/>
                      <w:sz w:val="21"/>
                      <w:szCs w:val="21"/>
                      <w:lang w:val="en-US" w:eastAsia="zh-CN"/>
                    </w:rPr>
                    <w:t>除湿机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干燥</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12</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挤出机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挤出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13</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牵引机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4kw/h</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牵引</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14</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电热</w:t>
                  </w:r>
                  <w:r>
                    <w:rPr>
                      <w:rFonts w:hint="default" w:ascii="Times New Roman" w:hAnsi="Times New Roman" w:eastAsia="宋体" w:cs="Times New Roman"/>
                      <w:color w:val="auto"/>
                      <w:sz w:val="21"/>
                      <w:szCs w:val="21"/>
                      <w:lang w:val="en-US" w:eastAsia="zh-CN"/>
                    </w:rPr>
                    <w:t>烤箱</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2.2kw/h</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烘干</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15</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压花机</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4kw/h</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压花</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16</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定型烤箱</w:t>
                  </w:r>
                </w:p>
              </w:tc>
              <w:tc>
                <w:tcPr>
                  <w:tcW w:w="182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kern w:val="0"/>
                      <w:sz w:val="21"/>
                      <w:szCs w:val="21"/>
                      <w:lang w:val="en-US" w:eastAsia="zh-CN" w:bidi="ar-SA"/>
                    </w:rPr>
                    <w:t>2</w:t>
                  </w:r>
                </w:p>
              </w:tc>
              <w:tc>
                <w:tcPr>
                  <w:tcW w:w="1096"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定型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17</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冷却水槽</w:t>
                  </w:r>
                </w:p>
              </w:tc>
              <w:tc>
                <w:tcPr>
                  <w:tcW w:w="1824" w:type="dxa"/>
                  <w:tcBorders>
                    <w:tl2br w:val="nil"/>
                    <w:tr2bl w:val="nil"/>
                  </w:tcBorders>
                  <w:shd w:val="clear" w:color="auto" w:fill="auto"/>
                  <w:noWrap/>
                  <w:vAlign w:val="center"/>
                </w:tcPr>
                <w:p>
                  <w:pPr>
                    <w:pStyle w:val="45"/>
                    <w:bidi w:val="0"/>
                    <w:ind w:firstLine="0" w:firstLineChars="0"/>
                    <w:jc w:val="both"/>
                    <w:rPr>
                      <w:rFonts w:hint="eastAsia" w:cs="Times New Roman"/>
                      <w:color w:val="0000FF"/>
                      <w:kern w:val="0"/>
                      <w:sz w:val="21"/>
                      <w:szCs w:val="21"/>
                      <w:lang w:val="en-US" w:eastAsia="zh-CN" w:bidi="ar-SA"/>
                    </w:rPr>
                  </w:pPr>
                  <w:r>
                    <w:rPr>
                      <w:rFonts w:hint="eastAsia" w:eastAsia="宋体" w:cs="Times New Roman"/>
                      <w:color w:val="0000FF"/>
                      <w:sz w:val="21"/>
                      <w:szCs w:val="21"/>
                      <w:lang w:val="en-US" w:eastAsia="zh-CN"/>
                    </w:rPr>
                    <w:t>3</w:t>
                  </w:r>
                  <w:r>
                    <w:rPr>
                      <w:rFonts w:hint="eastAsia" w:ascii="Times New Roman" w:hAnsi="Times New Roman" w:eastAsia="宋体" w:cs="Times New Roman"/>
                      <w:color w:val="0000FF"/>
                      <w:sz w:val="21"/>
                      <w:szCs w:val="21"/>
                      <w:lang w:val="en-US" w:eastAsia="zh-CN"/>
                    </w:rPr>
                    <w:t>m</w:t>
                  </w:r>
                  <w:r>
                    <w:rPr>
                      <w:rFonts w:hint="default" w:ascii="Times New Roman" w:hAnsi="Times New Roman" w:eastAsia="宋体" w:cs="Times New Roman"/>
                      <w:color w:val="0000FF"/>
                      <w:sz w:val="21"/>
                      <w:szCs w:val="21"/>
                      <w:lang w:val="en-US" w:eastAsia="zh-CN"/>
                    </w:rPr>
                    <w:t>×</w:t>
                  </w:r>
                  <w:r>
                    <w:rPr>
                      <w:rFonts w:hint="eastAsia" w:ascii="Times New Roman" w:hAnsi="Times New Roman" w:eastAsia="宋体" w:cs="Times New Roman"/>
                      <w:color w:val="0000FF"/>
                      <w:sz w:val="21"/>
                      <w:szCs w:val="21"/>
                      <w:lang w:val="en-US" w:eastAsia="zh-CN"/>
                    </w:rPr>
                    <w:t>0.4</w:t>
                  </w:r>
                  <w:r>
                    <w:rPr>
                      <w:rFonts w:hint="eastAsia" w:eastAsia="宋体" w:cs="Times New Roman"/>
                      <w:color w:val="0000FF"/>
                      <w:sz w:val="21"/>
                      <w:szCs w:val="21"/>
                      <w:lang w:val="en-US" w:eastAsia="zh-CN"/>
                    </w:rPr>
                    <w:t>5</w:t>
                  </w:r>
                  <w:r>
                    <w:rPr>
                      <w:rFonts w:hint="eastAsia" w:ascii="Times New Roman" w:hAnsi="Times New Roman" w:eastAsia="宋体" w:cs="Times New Roman"/>
                      <w:color w:val="0000FF"/>
                      <w:sz w:val="21"/>
                      <w:szCs w:val="21"/>
                      <w:lang w:val="en-US" w:eastAsia="zh-CN"/>
                    </w:rPr>
                    <w:t>m</w:t>
                  </w:r>
                  <w:r>
                    <w:rPr>
                      <w:rFonts w:hint="default" w:ascii="Times New Roman" w:hAnsi="Times New Roman" w:eastAsia="宋体" w:cs="Times New Roman"/>
                      <w:color w:val="0000FF"/>
                      <w:sz w:val="21"/>
                      <w:szCs w:val="21"/>
                      <w:lang w:val="en-US" w:eastAsia="zh-CN"/>
                    </w:rPr>
                    <w:t>×</w:t>
                  </w:r>
                  <w:r>
                    <w:rPr>
                      <w:rFonts w:hint="eastAsia" w:ascii="Times New Roman" w:hAnsi="Times New Roman" w:eastAsia="宋体" w:cs="Times New Roman"/>
                      <w:color w:val="0000FF"/>
                      <w:sz w:val="21"/>
                      <w:szCs w:val="21"/>
                      <w:lang w:val="en-US" w:eastAsia="zh-CN"/>
                    </w:rPr>
                    <w:t>0.37m</w:t>
                  </w:r>
                </w:p>
              </w:tc>
              <w:tc>
                <w:tcPr>
                  <w:tcW w:w="1636" w:type="dxa"/>
                  <w:tcBorders>
                    <w:tl2br w:val="nil"/>
                    <w:tr2bl w:val="nil"/>
                  </w:tcBorders>
                  <w:shd w:val="clear" w:color="auto" w:fill="auto"/>
                  <w:noWrap/>
                  <w:vAlign w:val="center"/>
                </w:tcPr>
                <w:p>
                  <w:pPr>
                    <w:pStyle w:val="45"/>
                    <w:bidi w:val="0"/>
                    <w:ind w:firstLine="0" w:firstLineChars="0"/>
                    <w:jc w:val="both"/>
                    <w:rPr>
                      <w:rFonts w:hint="eastAsia" w:cs="Times New Roman"/>
                      <w:color w:val="0000FF"/>
                      <w:kern w:val="0"/>
                      <w:sz w:val="21"/>
                      <w:szCs w:val="21"/>
                      <w:lang w:val="en-US" w:eastAsia="zh-CN" w:bidi="ar-SA"/>
                    </w:rPr>
                  </w:pPr>
                  <w:r>
                    <w:rPr>
                      <w:rFonts w:hint="eastAsia" w:cs="Times New Roman"/>
                      <w:color w:val="0000FF"/>
                      <w:kern w:val="0"/>
                      <w:sz w:val="21"/>
                      <w:szCs w:val="21"/>
                      <w:lang w:val="en-US" w:eastAsia="zh-CN" w:bidi="ar-SA"/>
                    </w:rPr>
                    <w:t>2</w:t>
                  </w:r>
                </w:p>
              </w:tc>
              <w:tc>
                <w:tcPr>
                  <w:tcW w:w="1096" w:type="dxa"/>
                  <w:tcBorders>
                    <w:tl2br w:val="nil"/>
                    <w:tr2bl w:val="nil"/>
                  </w:tcBorders>
                  <w:shd w:val="clear" w:color="auto" w:fill="auto"/>
                  <w:noWrap/>
                  <w:vAlign w:val="center"/>
                </w:tcPr>
                <w:p>
                  <w:pPr>
                    <w:pStyle w:val="45"/>
                    <w:bidi w:val="0"/>
                    <w:ind w:firstLine="0" w:firstLineChars="0"/>
                    <w:jc w:val="both"/>
                    <w:rPr>
                      <w:rFonts w:hint="eastAsia" w:ascii="Times New Roman" w:hAnsi="Times New Roman" w:cs="Times New Roman"/>
                      <w:color w:val="0000FF"/>
                      <w:sz w:val="21"/>
                      <w:szCs w:val="21"/>
                      <w:lang w:val="en-US" w:eastAsia="zh-CN"/>
                    </w:rPr>
                  </w:pPr>
                  <w:r>
                    <w:rPr>
                      <w:rFonts w:hint="eastAsia" w:cs="Times New Roman"/>
                      <w:color w:val="0000FF"/>
                      <w:sz w:val="21"/>
                      <w:szCs w:val="21"/>
                      <w:lang w:val="en-US" w:eastAsia="zh-CN"/>
                    </w:rPr>
                    <w:t>冷却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cs="Times New Roman"/>
                      <w:color w:val="auto"/>
                      <w:sz w:val="21"/>
                      <w:szCs w:val="21"/>
                      <w:lang w:val="en-US" w:eastAsia="zh-CN"/>
                    </w:rPr>
                  </w:pPr>
                  <w:r>
                    <w:rPr>
                      <w:rFonts w:hint="eastAsia" w:cs="Times New Roman"/>
                      <w:color w:val="auto"/>
                      <w:sz w:val="21"/>
                      <w:szCs w:val="21"/>
                      <w:lang w:val="en-US" w:eastAsia="zh-CN"/>
                    </w:rPr>
                    <w:t>18</w:t>
                  </w:r>
                </w:p>
              </w:tc>
              <w:tc>
                <w:tcPr>
                  <w:tcW w:w="1405" w:type="dxa"/>
                  <w:vMerge w:val="continue"/>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eastAsia" w:cs="Times New Roman"/>
                      <w:color w:val="0000FF"/>
                      <w:sz w:val="21"/>
                      <w:szCs w:val="21"/>
                      <w:lang w:val="en-US" w:eastAsia="zh-CN"/>
                    </w:rPr>
                  </w:pPr>
                  <w:r>
                    <w:rPr>
                      <w:rFonts w:hint="eastAsia" w:cs="Times New Roman"/>
                      <w:color w:val="0000FF"/>
                      <w:sz w:val="21"/>
                      <w:szCs w:val="21"/>
                      <w:lang w:val="en-US" w:eastAsia="zh-CN"/>
                    </w:rPr>
                    <w:t>收卷机</w:t>
                  </w:r>
                </w:p>
              </w:tc>
              <w:tc>
                <w:tcPr>
                  <w:tcW w:w="1824" w:type="dxa"/>
                  <w:tcBorders>
                    <w:tl2br w:val="nil"/>
                    <w:tr2bl w:val="nil"/>
                  </w:tcBorders>
                  <w:shd w:val="clear" w:color="auto" w:fill="auto"/>
                  <w:noWrap/>
                  <w:vAlign w:val="center"/>
                </w:tcPr>
                <w:p>
                  <w:pPr>
                    <w:pStyle w:val="45"/>
                    <w:bidi w:val="0"/>
                    <w:ind w:firstLine="0" w:firstLineChars="0"/>
                    <w:jc w:val="both"/>
                    <w:rPr>
                      <w:rFonts w:hint="eastAsia" w:cs="Times New Roman"/>
                      <w:color w:val="0000FF"/>
                      <w:kern w:val="0"/>
                      <w:sz w:val="21"/>
                      <w:szCs w:val="21"/>
                      <w:lang w:val="en-US" w:eastAsia="zh-CN" w:bidi="ar-SA"/>
                    </w:rPr>
                  </w:pPr>
                  <w:r>
                    <w:rPr>
                      <w:rFonts w:hint="eastAsia" w:cs="Times New Roman"/>
                      <w:color w:val="0000FF"/>
                      <w:kern w:val="0"/>
                      <w:sz w:val="21"/>
                      <w:szCs w:val="21"/>
                      <w:lang w:val="en-US" w:eastAsia="zh-CN" w:bidi="ar-SA"/>
                    </w:rPr>
                    <w:t>/</w:t>
                  </w:r>
                </w:p>
              </w:tc>
              <w:tc>
                <w:tcPr>
                  <w:tcW w:w="1636" w:type="dxa"/>
                  <w:tcBorders>
                    <w:tl2br w:val="nil"/>
                    <w:tr2bl w:val="nil"/>
                  </w:tcBorders>
                  <w:shd w:val="clear" w:color="auto" w:fill="auto"/>
                  <w:noWrap/>
                  <w:vAlign w:val="center"/>
                </w:tcPr>
                <w:p>
                  <w:pPr>
                    <w:pStyle w:val="45"/>
                    <w:bidi w:val="0"/>
                    <w:ind w:firstLine="0" w:firstLineChars="0"/>
                    <w:jc w:val="both"/>
                    <w:rPr>
                      <w:rFonts w:hint="eastAsia" w:cs="Times New Roman"/>
                      <w:color w:val="0000FF"/>
                      <w:kern w:val="0"/>
                      <w:sz w:val="21"/>
                      <w:szCs w:val="21"/>
                      <w:lang w:val="en-US" w:eastAsia="zh-CN" w:bidi="ar-SA"/>
                    </w:rPr>
                  </w:pPr>
                  <w:r>
                    <w:rPr>
                      <w:rFonts w:hint="eastAsia" w:cs="Times New Roman"/>
                      <w:color w:val="0000FF"/>
                      <w:kern w:val="0"/>
                      <w:sz w:val="21"/>
                      <w:szCs w:val="21"/>
                      <w:lang w:val="en-US" w:eastAsia="zh-CN" w:bidi="ar-SA"/>
                    </w:rPr>
                    <w:t>1</w:t>
                  </w:r>
                </w:p>
              </w:tc>
              <w:tc>
                <w:tcPr>
                  <w:tcW w:w="1096" w:type="dxa"/>
                  <w:tcBorders>
                    <w:tl2br w:val="nil"/>
                    <w:tr2bl w:val="nil"/>
                  </w:tcBorders>
                  <w:shd w:val="clear" w:color="auto" w:fill="auto"/>
                  <w:noWrap/>
                  <w:vAlign w:val="center"/>
                </w:tcPr>
                <w:p>
                  <w:pPr>
                    <w:pStyle w:val="45"/>
                    <w:bidi w:val="0"/>
                    <w:ind w:firstLine="0" w:firstLineChars="0"/>
                    <w:jc w:val="both"/>
                    <w:rPr>
                      <w:rFonts w:hint="eastAsia" w:cs="Times New Roman"/>
                      <w:color w:val="0000FF"/>
                      <w:sz w:val="21"/>
                      <w:szCs w:val="21"/>
                      <w:lang w:val="en-US" w:eastAsia="zh-CN"/>
                    </w:rPr>
                  </w:pPr>
                  <w:r>
                    <w:rPr>
                      <w:rFonts w:hint="eastAsia" w:cs="Times New Roman"/>
                      <w:color w:val="0000FF"/>
                      <w:sz w:val="21"/>
                      <w:szCs w:val="21"/>
                      <w:lang w:val="en-US" w:eastAsia="zh-CN"/>
                    </w:rPr>
                    <w:t>收卷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04" w:type="dxa"/>
                  <w:tcBorders>
                    <w:tl2br w:val="nil"/>
                    <w:tr2bl w:val="nil"/>
                  </w:tcBorders>
                  <w:shd w:val="clear" w:color="auto" w:fill="auto"/>
                  <w:noWrap/>
                  <w:vAlign w:val="center"/>
                </w:tcPr>
                <w:p>
                  <w:pPr>
                    <w:pStyle w:val="45"/>
                    <w:bidi w:val="0"/>
                    <w:ind w:firstLine="0" w:firstLineChars="0"/>
                    <w:jc w:val="both"/>
                    <w:rPr>
                      <w:rFonts w:hint="default" w:cs="Times New Roman"/>
                      <w:color w:val="auto"/>
                      <w:sz w:val="21"/>
                      <w:szCs w:val="21"/>
                      <w:lang w:val="en-US" w:eastAsia="zh-CN"/>
                    </w:rPr>
                  </w:pPr>
                  <w:r>
                    <w:rPr>
                      <w:rFonts w:hint="eastAsia" w:cs="Times New Roman"/>
                      <w:color w:val="auto"/>
                      <w:sz w:val="21"/>
                      <w:szCs w:val="21"/>
                      <w:lang w:val="en-US" w:eastAsia="zh-CN"/>
                    </w:rPr>
                    <w:t>19</w:t>
                  </w:r>
                </w:p>
              </w:tc>
              <w:tc>
                <w:tcPr>
                  <w:tcW w:w="1405" w:type="dxa"/>
                  <w:tcBorders>
                    <w:right w:val="single" w:color="auto" w:sz="4" w:space="0"/>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公用工程</w:t>
                  </w:r>
                </w:p>
              </w:tc>
              <w:tc>
                <w:tcPr>
                  <w:tcW w:w="1726" w:type="dxa"/>
                  <w:tcBorders>
                    <w:left w:val="single" w:color="auto" w:sz="4" w:space="0"/>
                    <w:tl2br w:val="nil"/>
                    <w:tr2bl w:val="nil"/>
                  </w:tcBorders>
                  <w:shd w:val="clear" w:color="auto" w:fill="auto"/>
                  <w:noWrap/>
                  <w:vAlign w:val="center"/>
                </w:tcPr>
                <w:p>
                  <w:pPr>
                    <w:pStyle w:val="45"/>
                    <w:bidi w:val="0"/>
                    <w:ind w:firstLine="0" w:firstLineChars="0"/>
                    <w:jc w:val="both"/>
                    <w:rPr>
                      <w:rFonts w:hint="default" w:cs="Times New Roman"/>
                      <w:color w:val="auto"/>
                      <w:sz w:val="21"/>
                      <w:szCs w:val="21"/>
                      <w:lang w:val="en-US" w:eastAsia="zh-CN"/>
                    </w:rPr>
                  </w:pPr>
                  <w:r>
                    <w:rPr>
                      <w:rFonts w:hint="eastAsia" w:cs="Times New Roman"/>
                      <w:color w:val="auto"/>
                      <w:sz w:val="21"/>
                      <w:szCs w:val="21"/>
                      <w:lang w:val="en-US" w:eastAsia="zh-CN"/>
                    </w:rPr>
                    <w:t>冷却水塔</w:t>
                  </w:r>
                </w:p>
              </w:tc>
              <w:tc>
                <w:tcPr>
                  <w:tcW w:w="1824" w:type="dxa"/>
                  <w:tcBorders>
                    <w:tl2br w:val="nil"/>
                    <w:tr2bl w:val="nil"/>
                  </w:tcBorders>
                  <w:shd w:val="clear" w:color="auto" w:fill="auto"/>
                  <w:noWrap/>
                  <w:vAlign w:val="center"/>
                </w:tcPr>
                <w:p>
                  <w:pPr>
                    <w:pStyle w:val="45"/>
                    <w:bidi w:val="0"/>
                    <w:ind w:firstLine="0" w:firstLineChars="0"/>
                    <w:jc w:val="both"/>
                    <w:rPr>
                      <w:rFonts w:hint="default" w:cs="Times New Roman"/>
                      <w:color w:val="auto"/>
                      <w:kern w:val="0"/>
                      <w:sz w:val="21"/>
                      <w:szCs w:val="21"/>
                      <w:lang w:val="en-US" w:eastAsia="zh-CN" w:bidi="ar-SA"/>
                    </w:rPr>
                  </w:pPr>
                  <w:r>
                    <w:rPr>
                      <w:rFonts w:hint="eastAsia" w:cs="Times New Roman"/>
                      <w:color w:val="auto"/>
                      <w:kern w:val="0"/>
                      <w:sz w:val="21"/>
                      <w:szCs w:val="21"/>
                      <w:lang w:val="en-US" w:eastAsia="zh-CN" w:bidi="ar-SA"/>
                    </w:rPr>
                    <w:t>20t/h</w:t>
                  </w:r>
                </w:p>
              </w:tc>
              <w:tc>
                <w:tcPr>
                  <w:tcW w:w="1636" w:type="dxa"/>
                  <w:tcBorders>
                    <w:tl2br w:val="nil"/>
                    <w:tr2bl w:val="nil"/>
                  </w:tcBorders>
                  <w:shd w:val="clear" w:color="auto" w:fill="auto"/>
                  <w:noWrap/>
                  <w:vAlign w:val="center"/>
                </w:tcPr>
                <w:p>
                  <w:pPr>
                    <w:pStyle w:val="45"/>
                    <w:bidi w:val="0"/>
                    <w:ind w:firstLine="0" w:firstLineChars="0"/>
                    <w:jc w:val="both"/>
                    <w:rPr>
                      <w:rFonts w:hint="default" w:cs="Times New Roman"/>
                      <w:color w:val="auto"/>
                      <w:kern w:val="0"/>
                      <w:sz w:val="21"/>
                      <w:szCs w:val="21"/>
                      <w:lang w:val="en-US" w:eastAsia="zh-CN" w:bidi="ar-SA"/>
                    </w:rPr>
                  </w:pPr>
                  <w:r>
                    <w:rPr>
                      <w:rFonts w:hint="eastAsia" w:cs="Times New Roman"/>
                      <w:color w:val="auto"/>
                      <w:kern w:val="0"/>
                      <w:sz w:val="21"/>
                      <w:szCs w:val="21"/>
                      <w:lang w:val="en-US" w:eastAsia="zh-CN" w:bidi="ar-SA"/>
                    </w:rPr>
                    <w:t>2</w:t>
                  </w:r>
                </w:p>
              </w:tc>
              <w:tc>
                <w:tcPr>
                  <w:tcW w:w="1096" w:type="dxa"/>
                  <w:tcBorders>
                    <w:tl2br w:val="nil"/>
                    <w:tr2bl w:val="nil"/>
                  </w:tcBorders>
                  <w:shd w:val="clear" w:color="auto" w:fill="auto"/>
                  <w:noWrap/>
                  <w:vAlign w:val="center"/>
                </w:tcPr>
                <w:p>
                  <w:pPr>
                    <w:pStyle w:val="45"/>
                    <w:bidi w:val="0"/>
                    <w:ind w:firstLine="0" w:firstLineChars="0"/>
                    <w:jc w:val="both"/>
                    <w:rPr>
                      <w:rFonts w:hint="default" w:cs="Times New Roman"/>
                      <w:color w:val="auto"/>
                      <w:sz w:val="21"/>
                      <w:szCs w:val="21"/>
                      <w:lang w:val="en-US" w:eastAsia="zh-CN"/>
                    </w:rPr>
                  </w:pPr>
                  <w:r>
                    <w:rPr>
                      <w:rFonts w:hint="eastAsia" w:cs="Times New Roman"/>
                      <w:color w:val="auto"/>
                      <w:sz w:val="21"/>
                      <w:szCs w:val="21"/>
                      <w:lang w:val="en-US" w:eastAsia="zh-CN"/>
                    </w:rPr>
                    <w:t>/</w:t>
                  </w:r>
                </w:p>
              </w:tc>
            </w:tr>
          </w:tbl>
          <w:p>
            <w:pPr>
              <w:pStyle w:val="46"/>
              <w:numPr>
                <w:ilvl w:val="0"/>
                <w:numId w:val="0"/>
              </w:numPr>
              <w:bidi w:val="0"/>
              <w:ind w:left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6.主要原辅材料</w:t>
            </w:r>
          </w:p>
          <w:p>
            <w:pPr>
              <w:pStyle w:val="43"/>
              <w:bidi w:val="0"/>
              <w:rPr>
                <w:rFonts w:hint="default" w:ascii="Times New Roman" w:hAnsi="Times New Roman" w:eastAsia="宋体" w:cs="Times New Roman"/>
                <w:color w:val="0000FF"/>
                <w:lang w:val="en-US" w:eastAsia="zh-CN"/>
              </w:rPr>
            </w:pPr>
            <w:r>
              <w:rPr>
                <w:rFonts w:hint="default" w:ascii="Times New Roman" w:hAnsi="Times New Roman" w:eastAsia="宋体" w:cs="Times New Roman"/>
                <w:color w:val="0000FF"/>
                <w:lang w:val="en-US" w:eastAsia="zh-CN"/>
              </w:rPr>
              <w:t>拟建项目</w:t>
            </w:r>
            <w:r>
              <w:rPr>
                <w:rFonts w:hint="eastAsia" w:ascii="Times New Roman" w:hAnsi="Times New Roman" w:eastAsia="宋体" w:cs="Times New Roman"/>
                <w:color w:val="0000FF"/>
                <w:lang w:val="en-US" w:eastAsia="zh-CN"/>
              </w:rPr>
              <w:t>均使用新料，不使用废旧</w:t>
            </w:r>
            <w:r>
              <w:rPr>
                <w:rFonts w:hint="default" w:ascii="Times New Roman" w:hAnsi="Times New Roman" w:eastAsia="宋体" w:cs="Times New Roman"/>
                <w:color w:val="0000FF"/>
                <w:lang w:val="en-US" w:eastAsia="zh-CN"/>
              </w:rPr>
              <w:t>PP</w:t>
            </w:r>
            <w:r>
              <w:rPr>
                <w:rFonts w:hint="eastAsia" w:ascii="Times New Roman" w:hAnsi="Times New Roman" w:eastAsia="宋体" w:cs="Times New Roman"/>
                <w:color w:val="0000FF"/>
                <w:lang w:val="en-US" w:eastAsia="zh-CN"/>
              </w:rPr>
              <w:t>、</w:t>
            </w:r>
            <w:r>
              <w:rPr>
                <w:rFonts w:hint="default" w:ascii="Times New Roman" w:hAnsi="Times New Roman" w:eastAsia="宋体" w:cs="Times New Roman"/>
                <w:color w:val="0000FF"/>
                <w:lang w:val="en-US" w:eastAsia="zh-CN"/>
              </w:rPr>
              <w:t>PET</w:t>
            </w:r>
            <w:r>
              <w:rPr>
                <w:rFonts w:hint="eastAsia" w:ascii="Times New Roman" w:hAnsi="Times New Roman" w:eastAsia="宋体" w:cs="Times New Roman"/>
                <w:color w:val="0000FF"/>
                <w:lang w:val="en-US" w:eastAsia="zh-CN"/>
              </w:rPr>
              <w:t>。</w:t>
            </w:r>
          </w:p>
          <w:p>
            <w:pPr>
              <w:pStyle w:val="43"/>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主要原辅材料详见下表2-4。</w:t>
            </w:r>
          </w:p>
          <w:p>
            <w:pPr>
              <w:pStyle w:val="44"/>
              <w:bidi w:val="0"/>
              <w:rPr>
                <w:rFonts w:hint="default" w:ascii="Times New Roman" w:hAnsi="Times New Roman" w:eastAsia="宋体" w:cs="Times New Roman"/>
                <w:color w:val="auto"/>
                <w:lang w:val="en-US" w:eastAsia="zh-CN"/>
              </w:rPr>
            </w:pPr>
          </w:p>
          <w:p>
            <w:pPr>
              <w:pStyle w:val="44"/>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表2-4  拟建项目主要原辅材料</w:t>
            </w:r>
            <w:r>
              <w:rPr>
                <w:rFonts w:hint="eastAsia" w:cs="Times New Roman"/>
                <w:color w:val="auto"/>
                <w:lang w:val="en-US" w:eastAsia="zh-CN"/>
              </w:rPr>
              <w:t>表</w:t>
            </w:r>
          </w:p>
          <w:tbl>
            <w:tblPr>
              <w:tblStyle w:val="19"/>
              <w:tblW w:w="4998"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56"/>
              <w:gridCol w:w="1226"/>
              <w:gridCol w:w="1601"/>
              <w:gridCol w:w="651"/>
              <w:gridCol w:w="905"/>
              <w:gridCol w:w="1274"/>
              <w:gridCol w:w="182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jc w:val="center"/>
              </w:trPr>
              <w:tc>
                <w:tcPr>
                  <w:tcW w:w="45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序号</w:t>
                  </w:r>
                </w:p>
              </w:tc>
              <w:tc>
                <w:tcPr>
                  <w:tcW w:w="744"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名称</w:t>
                  </w:r>
                </w:p>
              </w:tc>
              <w:tc>
                <w:tcPr>
                  <w:tcW w:w="972"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规格</w:t>
                  </w:r>
                </w:p>
              </w:tc>
              <w:tc>
                <w:tcPr>
                  <w:tcW w:w="395"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单位</w:t>
                  </w:r>
                </w:p>
              </w:tc>
              <w:tc>
                <w:tcPr>
                  <w:tcW w:w="54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年用量</w:t>
                  </w:r>
                </w:p>
              </w:tc>
              <w:tc>
                <w:tcPr>
                  <w:tcW w:w="773"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最大储存量</w:t>
                  </w:r>
                </w:p>
              </w:tc>
              <w:tc>
                <w:tcPr>
                  <w:tcW w:w="1105"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bidi="ar-SA"/>
                    </w:rPr>
                    <w:t>原料粒径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5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744"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PP原料</w:t>
                  </w:r>
                </w:p>
              </w:tc>
              <w:tc>
                <w:tcPr>
                  <w:tcW w:w="972"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袋装，</w:t>
                  </w:r>
                  <w:r>
                    <w:rPr>
                      <w:rFonts w:hint="eastAsia" w:cs="Times New Roman"/>
                      <w:color w:val="auto"/>
                      <w:kern w:val="0"/>
                      <w:sz w:val="21"/>
                      <w:szCs w:val="21"/>
                      <w:lang w:val="en-US" w:eastAsia="zh-CN" w:bidi="ar-SA"/>
                    </w:rPr>
                    <w:t>25</w:t>
                  </w:r>
                  <w:r>
                    <w:rPr>
                      <w:rFonts w:hint="default" w:ascii="Times New Roman" w:hAnsi="Times New Roman" w:eastAsia="宋体" w:cs="Times New Roman"/>
                      <w:color w:val="auto"/>
                      <w:kern w:val="0"/>
                      <w:sz w:val="21"/>
                      <w:szCs w:val="21"/>
                      <w:lang w:val="en-US" w:eastAsia="zh-CN" w:bidi="ar-SA"/>
                    </w:rPr>
                    <w:t>kg/袋</w:t>
                  </w:r>
                </w:p>
              </w:tc>
              <w:tc>
                <w:tcPr>
                  <w:tcW w:w="395"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t</w:t>
                  </w:r>
                </w:p>
              </w:tc>
              <w:tc>
                <w:tcPr>
                  <w:tcW w:w="54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500</w:t>
                  </w:r>
                </w:p>
              </w:tc>
              <w:tc>
                <w:tcPr>
                  <w:tcW w:w="773"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50</w:t>
                  </w:r>
                </w:p>
              </w:tc>
              <w:tc>
                <w:tcPr>
                  <w:tcW w:w="1105" w:type="pct"/>
                  <w:tcBorders>
                    <w:tl2br w:val="nil"/>
                    <w:tr2bl w:val="nil"/>
                  </w:tcBorders>
                  <w:shd w:val="clear" w:color="auto" w:fill="auto"/>
                  <w:noWrap/>
                  <w:vAlign w:val="center"/>
                </w:tcPr>
                <w:p>
                  <w:pPr>
                    <w:pStyle w:val="45"/>
                    <w:bidi w:val="0"/>
                    <w:ind w:firstLine="0" w:firstLineChars="0"/>
                    <w:jc w:val="both"/>
                    <w:rPr>
                      <w:rFonts w:hint="default" w:cs="Times New Roman"/>
                      <w:color w:val="0000FF"/>
                      <w:kern w:val="0"/>
                      <w:sz w:val="21"/>
                      <w:szCs w:val="21"/>
                      <w:lang w:val="en-US" w:eastAsia="zh-CN" w:bidi="ar-SA"/>
                    </w:rPr>
                  </w:pPr>
                  <w:r>
                    <w:rPr>
                      <w:rFonts w:hint="eastAsia" w:cs="Times New Roman"/>
                      <w:color w:val="0000FF"/>
                      <w:kern w:val="0"/>
                      <w:sz w:val="21"/>
                      <w:szCs w:val="21"/>
                      <w:lang w:val="en-US" w:eastAsia="zh-CN" w:bidi="ar-SA"/>
                    </w:rPr>
                    <w:t>1.5mm~4mm</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5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w:t>
                  </w:r>
                </w:p>
              </w:tc>
              <w:tc>
                <w:tcPr>
                  <w:tcW w:w="744"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PET</w:t>
                  </w:r>
                  <w:r>
                    <w:rPr>
                      <w:rFonts w:hint="default" w:ascii="Times New Roman" w:hAnsi="Times New Roman" w:cs="Times New Roman"/>
                      <w:color w:val="auto"/>
                      <w:kern w:val="0"/>
                      <w:sz w:val="21"/>
                      <w:szCs w:val="21"/>
                      <w:lang w:val="en-US" w:eastAsia="zh-CN" w:bidi="ar-SA"/>
                    </w:rPr>
                    <w:t>原</w:t>
                  </w:r>
                  <w:r>
                    <w:rPr>
                      <w:rFonts w:hint="default" w:ascii="Times New Roman" w:hAnsi="Times New Roman" w:eastAsia="宋体" w:cs="Times New Roman"/>
                      <w:color w:val="auto"/>
                      <w:kern w:val="0"/>
                      <w:sz w:val="21"/>
                      <w:szCs w:val="21"/>
                      <w:lang w:val="en-US" w:eastAsia="zh-CN" w:bidi="ar-SA"/>
                    </w:rPr>
                    <w:t>料</w:t>
                  </w:r>
                </w:p>
              </w:tc>
              <w:tc>
                <w:tcPr>
                  <w:tcW w:w="972"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袋装，</w:t>
                  </w:r>
                  <w:r>
                    <w:rPr>
                      <w:rFonts w:hint="eastAsia" w:cs="Times New Roman"/>
                      <w:color w:val="auto"/>
                      <w:kern w:val="0"/>
                      <w:sz w:val="21"/>
                      <w:szCs w:val="21"/>
                      <w:lang w:val="en-US" w:eastAsia="zh-CN" w:bidi="ar-SA"/>
                    </w:rPr>
                    <w:t>25</w:t>
                  </w:r>
                  <w:r>
                    <w:rPr>
                      <w:rFonts w:hint="default" w:ascii="Times New Roman" w:hAnsi="Times New Roman" w:eastAsia="宋体" w:cs="Times New Roman"/>
                      <w:color w:val="auto"/>
                      <w:kern w:val="0"/>
                      <w:sz w:val="21"/>
                      <w:szCs w:val="21"/>
                      <w:lang w:val="en-US" w:eastAsia="zh-CN" w:bidi="ar-SA"/>
                    </w:rPr>
                    <w:t>kg/袋</w:t>
                  </w:r>
                </w:p>
              </w:tc>
              <w:tc>
                <w:tcPr>
                  <w:tcW w:w="395"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t</w:t>
                  </w:r>
                </w:p>
              </w:tc>
              <w:tc>
                <w:tcPr>
                  <w:tcW w:w="54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5</w:t>
                  </w:r>
                  <w:r>
                    <w:rPr>
                      <w:rFonts w:hint="eastAsia" w:cs="Times New Roman"/>
                      <w:color w:val="auto"/>
                      <w:kern w:val="0"/>
                      <w:sz w:val="21"/>
                      <w:szCs w:val="21"/>
                      <w:lang w:val="en-US" w:eastAsia="zh-CN" w:bidi="ar-SA"/>
                    </w:rPr>
                    <w:t>00</w:t>
                  </w:r>
                </w:p>
              </w:tc>
              <w:tc>
                <w:tcPr>
                  <w:tcW w:w="773"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50</w:t>
                  </w:r>
                </w:p>
              </w:tc>
              <w:tc>
                <w:tcPr>
                  <w:tcW w:w="1105"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bidi="ar-SA"/>
                    </w:rPr>
                    <w:t>10mm~15mm</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5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3</w:t>
                  </w:r>
                </w:p>
              </w:tc>
              <w:tc>
                <w:tcPr>
                  <w:tcW w:w="744"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润滑油</w:t>
                  </w:r>
                </w:p>
              </w:tc>
              <w:tc>
                <w:tcPr>
                  <w:tcW w:w="972"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桶装，25kg/桶</w:t>
                  </w:r>
                </w:p>
              </w:tc>
              <w:tc>
                <w:tcPr>
                  <w:tcW w:w="395"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t</w:t>
                  </w:r>
                </w:p>
              </w:tc>
              <w:tc>
                <w:tcPr>
                  <w:tcW w:w="549"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cs="Times New Roman"/>
                      <w:color w:val="auto"/>
                      <w:kern w:val="0"/>
                      <w:sz w:val="21"/>
                      <w:szCs w:val="21"/>
                      <w:lang w:val="en-US" w:eastAsia="zh-CN" w:bidi="ar-SA"/>
                    </w:rPr>
                  </w:pPr>
                  <w:r>
                    <w:rPr>
                      <w:rFonts w:hint="eastAsia" w:cs="Times New Roman"/>
                      <w:color w:val="auto"/>
                      <w:kern w:val="0"/>
                      <w:sz w:val="21"/>
                      <w:szCs w:val="21"/>
                      <w:lang w:val="en-US" w:eastAsia="zh-CN" w:bidi="ar-SA"/>
                    </w:rPr>
                    <w:t>0.05</w:t>
                  </w:r>
                </w:p>
              </w:tc>
              <w:tc>
                <w:tcPr>
                  <w:tcW w:w="773"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0.05</w:t>
                  </w:r>
                </w:p>
              </w:tc>
              <w:tc>
                <w:tcPr>
                  <w:tcW w:w="1105" w:type="pct"/>
                  <w:tcBorders>
                    <w:tl2br w:val="nil"/>
                    <w:tr2bl w:val="nil"/>
                  </w:tcBorders>
                  <w:shd w:val="clear" w:color="auto" w:fill="auto"/>
                  <w:noWrap/>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bidi="ar-SA"/>
                    </w:rPr>
                    <w:t>/</w:t>
                  </w:r>
                </w:p>
              </w:tc>
            </w:tr>
          </w:tbl>
          <w:p>
            <w:pPr>
              <w:pStyle w:val="43"/>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主要原辅料性质如下：</w:t>
            </w:r>
          </w:p>
          <w:p>
            <w:pPr>
              <w:pStyle w:val="43"/>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（1）PP</w:t>
            </w:r>
          </w:p>
          <w:p>
            <w:pPr>
              <w:pStyle w:val="43"/>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PP</w:t>
            </w:r>
            <w:r>
              <w:rPr>
                <w:rFonts w:hint="default" w:ascii="Times New Roman" w:hAnsi="Times New Roman" w:cs="Times New Roman"/>
                <w:color w:val="auto"/>
                <w:lang w:val="en-US" w:eastAsia="zh-CN"/>
              </w:rPr>
              <w:t>是</w:t>
            </w:r>
            <w:r>
              <w:rPr>
                <w:rFonts w:hint="default" w:ascii="Times New Roman" w:hAnsi="Times New Roman" w:eastAsia="宋体" w:cs="Times New Roman"/>
                <w:color w:val="auto"/>
                <w:lang w:val="en-US" w:eastAsia="zh-CN"/>
              </w:rPr>
              <w:t>聚丙烯</w:t>
            </w:r>
            <w:r>
              <w:rPr>
                <w:rFonts w:hint="default" w:ascii="Times New Roman" w:hAnsi="Times New Roman" w:cs="Times New Roman"/>
                <w:color w:val="auto"/>
                <w:lang w:val="en-US" w:eastAsia="zh-CN"/>
              </w:rPr>
              <w:t>的</w:t>
            </w:r>
            <w:r>
              <w:rPr>
                <w:rFonts w:hint="default" w:ascii="Times New Roman" w:hAnsi="Times New Roman" w:eastAsia="宋体" w:cs="Times New Roman"/>
                <w:color w:val="auto"/>
                <w:lang w:val="en-US" w:eastAsia="zh-CN"/>
              </w:rPr>
              <w:t>简称，是丙烯通过加聚反应而成的聚合物，是一种无色、无臭、无毒、半透明固体物质（系白色蜡状材料，外观透明而轻）。聚丙烯是一种性能优良的热塑性合成树脂，为无色半透明的热塑性轻质通用塑料。具有耐化学性、耐热性、电绝缘性、高强度机械性能和良好的高耐磨加工性能等。化学式为(C</w:t>
            </w:r>
            <w:r>
              <w:rPr>
                <w:rFonts w:hint="default" w:ascii="Times New Roman" w:hAnsi="Times New Roman" w:eastAsia="宋体" w:cs="Times New Roman"/>
                <w:color w:val="auto"/>
                <w:vertAlign w:val="subscript"/>
                <w:lang w:val="en-US" w:eastAsia="zh-CN"/>
              </w:rPr>
              <w:t>3</w:t>
            </w:r>
            <w:r>
              <w:rPr>
                <w:rFonts w:hint="default" w:ascii="Times New Roman" w:hAnsi="Times New Roman" w:eastAsia="宋体" w:cs="Times New Roman"/>
                <w:color w:val="auto"/>
                <w:lang w:val="en-US" w:eastAsia="zh-CN"/>
              </w:rPr>
              <w:t>H</w:t>
            </w:r>
            <w:r>
              <w:rPr>
                <w:rFonts w:hint="default" w:ascii="Times New Roman" w:hAnsi="Times New Roman" w:eastAsia="宋体" w:cs="Times New Roman"/>
                <w:color w:val="auto"/>
                <w:vertAlign w:val="subscript"/>
                <w:lang w:val="en-US" w:eastAsia="zh-CN"/>
              </w:rPr>
              <w:t>6</w:t>
            </w:r>
            <w:r>
              <w:rPr>
                <w:rFonts w:hint="default" w:ascii="Times New Roman" w:hAnsi="Times New Roman" w:eastAsia="宋体" w:cs="Times New Roman"/>
                <w:color w:val="auto"/>
                <w:lang w:val="en-US" w:eastAsia="zh-CN"/>
              </w:rPr>
              <w:t>)n，密度为0.89～0.91g/cm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lang w:val="en-US" w:eastAsia="zh-CN"/>
              </w:rPr>
              <w:t xml:space="preserve">，易燃，熔点189℃，在155℃左右软化，使用温度范围为-30～140℃。在80℃以下能耐酸、碱、盐液及多种有机溶剂的腐蚀，能在高温和氧化作用下分解。 </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w:t>
            </w:r>
            <w:r>
              <w:rPr>
                <w:rFonts w:hint="default" w:ascii="Times New Roman" w:hAnsi="Times New Roman" w:eastAsia="宋体" w:cs="Times New Roman"/>
                <w:color w:val="auto"/>
                <w:lang w:val="en-US" w:eastAsia="zh-CN"/>
              </w:rPr>
              <w:t>PET</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PET是聚对苯二甲酸乙二醇酯的简称，是由</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"https://baike.baidu.com/item/%E5%AF%B9%E8%8B%AF%E4%BA%8C%E7%94%B2%E9%85%B8%E4%BA%8C%E7%94%B2%E9%85%AF/9489148" \t "https://baike.baidu.com/item/%E8%81%9A%E5%AF%B9%E8%8B%AF%E4%BA%8C%E7%94%B2%E9%85%B8%E4%B9%99%E4%BA%8C%E9%86%87%E9%85%AF/_blank"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对苯二甲酸二甲酯</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与乙二醇酯交换或以</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"https://baike.baidu.com/item/%E5%AF%B9%E8%8B%AF%E4%BA%8C%E7%94%B2%E9%85%B8/5871407" \t "https://baike.baidu.com/item/%E8%81%9A%E5%AF%B9%E8%8B%AF%E4%BA%8C%E7%94%B2%E9%85%B8%E4%B9%99%E4%BA%8C%E9%86%87%E9%85%AF/_blank"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对苯二甲酸</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与乙二醇酯化先合成对苯二甲酸双羟乙酯，然后再进行</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"https://baike.baidu.com/item/%E7%BC%A9%E8%81%9A%E5%8F%8D%E5%BA%94/311202" \t "https://baike.baidu.com/item/%E8%81%9A%E5%AF%B9%E8%8B%AF%E4%BA%8C%E7%94%B2%E9%85%B8%E4%B9%99%E4%BA%8C%E9%86%87%E9%85%AF/_blank"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缩聚反应</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制得。属结晶型饱和聚酯，为乳白色或浅黄色、高度结晶的聚合物，</w:t>
            </w:r>
            <w:r>
              <w:rPr>
                <w:rFonts w:hint="eastAsia" w:cs="Times New Roman"/>
                <w:color w:val="auto"/>
                <w:lang w:val="en-US" w:eastAsia="zh-CN"/>
              </w:rPr>
              <w:t>本品购买的PET为绿色颗粒，</w:t>
            </w:r>
            <w:r>
              <w:rPr>
                <w:rFonts w:hint="default" w:ascii="Times New Roman" w:hAnsi="Times New Roman" w:cs="Times New Roman"/>
                <w:color w:val="auto"/>
                <w:lang w:val="en-US" w:eastAsia="zh-CN"/>
              </w:rPr>
              <w:t>表面平滑有光泽。化学式为(C10H8O4)n，</w:t>
            </w:r>
            <w:r>
              <w:rPr>
                <w:rFonts w:hint="default" w:ascii="Times New Roman" w:hAnsi="Times New Roman" w:eastAsia="宋体" w:cs="Times New Roman"/>
                <w:color w:val="auto"/>
                <w:lang w:val="en-US" w:eastAsia="zh-CN"/>
              </w:rPr>
              <w:t>密度为</w:t>
            </w:r>
            <w:r>
              <w:rPr>
                <w:rFonts w:hint="default" w:ascii="Times New Roman" w:hAnsi="Times New Roman" w:cs="Times New Roman"/>
                <w:color w:val="auto"/>
                <w:lang w:val="en-US" w:eastAsia="zh-CN"/>
              </w:rPr>
              <w:t>1.4</w:t>
            </w:r>
            <w:r>
              <w:rPr>
                <w:rFonts w:hint="default" w:ascii="Times New Roman" w:hAnsi="Times New Roman" w:eastAsia="宋体" w:cs="Times New Roman"/>
                <w:color w:val="auto"/>
                <w:lang w:val="en-US" w:eastAsia="zh-CN"/>
              </w:rPr>
              <w:t>g/cm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lang w:val="en-US" w:eastAsia="zh-CN"/>
              </w:rPr>
              <w:t>，熔点</w:t>
            </w:r>
            <w:r>
              <w:rPr>
                <w:rFonts w:hint="default" w:ascii="Times New Roman" w:hAnsi="Times New Roman" w:cs="Times New Roman"/>
                <w:color w:val="auto"/>
                <w:lang w:val="en-US" w:eastAsia="zh-CN"/>
              </w:rPr>
              <w:t>250~255</w:t>
            </w:r>
            <w:r>
              <w:rPr>
                <w:rFonts w:hint="default" w:ascii="Times New Roman" w:hAnsi="Times New Roman" w:eastAsia="宋体" w:cs="Times New Roman"/>
                <w:color w:val="auto"/>
                <w:lang w:val="en-US" w:eastAsia="zh-CN"/>
              </w:rPr>
              <w:t>℃。</w:t>
            </w:r>
            <w:r>
              <w:rPr>
                <w:rFonts w:hint="default" w:ascii="Times New Roman" w:hAnsi="Times New Roman" w:eastAsia="Helvetica" w:cs="Times New Roman"/>
                <w:i w:val="0"/>
                <w:iCs w:val="0"/>
                <w:caps w:val="0"/>
                <w:color w:val="333333"/>
                <w:spacing w:val="0"/>
                <w:sz w:val="21"/>
                <w:szCs w:val="21"/>
                <w:shd w:val="clear" w:fill="FFFFFF"/>
              </w:rPr>
              <w:t>耐弱酸和有机溶剂，但不耐热水浸泡，不耐碱。</w:t>
            </w:r>
          </w:p>
          <w:p>
            <w:pPr>
              <w:autoSpaceDE w:val="0"/>
              <w:autoSpaceDN w:val="0"/>
              <w:adjustRightInd w:val="0"/>
              <w:spacing w:line="360" w:lineRule="auto"/>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7</w:t>
            </w:r>
            <w:r>
              <w:rPr>
                <w:rFonts w:hint="default" w:ascii="Times New Roman" w:hAnsi="Times New Roman" w:eastAsia="宋体" w:cs="Times New Roman"/>
                <w:b/>
                <w:bCs/>
                <w:kern w:val="0"/>
                <w:sz w:val="21"/>
                <w:szCs w:val="21"/>
                <w:lang w:val="en-US" w:eastAsia="zh-CN"/>
              </w:rPr>
              <w:t>.公辅工程</w:t>
            </w:r>
          </w:p>
          <w:p>
            <w:pPr>
              <w:autoSpaceDE w:val="0"/>
              <w:autoSpaceDN w:val="0"/>
              <w:adjustRightInd w:val="0"/>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给排水</w:t>
            </w:r>
          </w:p>
          <w:p>
            <w:pPr>
              <w:autoSpaceDE w:val="0"/>
              <w:autoSpaceDN w:val="0"/>
              <w:adjustRightInd w:val="0"/>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项目依托</w:t>
            </w:r>
            <w:r>
              <w:rPr>
                <w:rFonts w:hint="eastAsia" w:ascii="Times New Roman" w:hAnsi="Times New Roman" w:cs="Times New Roman"/>
                <w:color w:val="auto"/>
                <w:sz w:val="21"/>
                <w:szCs w:val="21"/>
                <w:lang w:val="en-US" w:eastAsia="zh-CN"/>
              </w:rPr>
              <w:t>租赁地块</w:t>
            </w:r>
            <w:r>
              <w:rPr>
                <w:rFonts w:hint="default" w:ascii="Times New Roman" w:hAnsi="Times New Roman" w:eastAsia="宋体" w:cs="Times New Roman"/>
                <w:color w:val="auto"/>
                <w:sz w:val="21"/>
                <w:szCs w:val="21"/>
                <w:lang w:val="en-US" w:eastAsia="zh-CN"/>
              </w:rPr>
              <w:t>已建的完善供水管网，水源来自市政管网。采用雨污分流制，雨水经厂房周边雨水管网接入市政雨水管网。</w:t>
            </w:r>
          </w:p>
          <w:p>
            <w:pPr>
              <w:autoSpaceDE w:val="0"/>
              <w:autoSpaceDN w:val="0"/>
              <w:adjustRightInd w:val="0"/>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拟建项目不设置</w:t>
            </w:r>
            <w:r>
              <w:rPr>
                <w:rFonts w:hint="default" w:ascii="Times New Roman" w:hAnsi="Times New Roman" w:eastAsia="宋体" w:cs="Times New Roman"/>
                <w:color w:val="auto"/>
                <w:sz w:val="21"/>
                <w:szCs w:val="21"/>
                <w:lang w:val="en-US" w:eastAsia="zh-CN"/>
              </w:rPr>
              <w:t>住宿，</w:t>
            </w:r>
            <w:r>
              <w:rPr>
                <w:rFonts w:hint="eastAsia" w:ascii="Times New Roman" w:hAnsi="Times New Roman" w:cs="Times New Roman"/>
                <w:color w:val="auto"/>
                <w:sz w:val="21"/>
                <w:szCs w:val="21"/>
                <w:lang w:val="en-US" w:eastAsia="zh-CN"/>
              </w:rPr>
              <w:t>设置食堂。厂区</w:t>
            </w:r>
            <w:r>
              <w:rPr>
                <w:rFonts w:hint="default" w:ascii="Times New Roman" w:hAnsi="Times New Roman" w:eastAsia="宋体" w:cs="Times New Roman"/>
                <w:color w:val="auto"/>
                <w:sz w:val="21"/>
                <w:szCs w:val="21"/>
                <w:lang w:val="en-US" w:eastAsia="zh-CN"/>
              </w:rPr>
              <w:t>主要为地面清洁用水</w:t>
            </w:r>
            <w:r>
              <w:rPr>
                <w:rFonts w:hint="eastAsia" w:cs="Times New Roman"/>
                <w:color w:val="auto"/>
                <w:sz w:val="21"/>
                <w:szCs w:val="21"/>
                <w:lang w:val="en-US" w:eastAsia="zh-CN"/>
              </w:rPr>
              <w:t>、冷却用水及</w:t>
            </w:r>
            <w:r>
              <w:rPr>
                <w:rFonts w:hint="default" w:ascii="Times New Roman" w:hAnsi="Times New Roman" w:eastAsia="宋体" w:cs="Times New Roman"/>
                <w:color w:val="auto"/>
                <w:sz w:val="21"/>
                <w:szCs w:val="21"/>
                <w:lang w:val="en-US" w:eastAsia="zh-CN"/>
              </w:rPr>
              <w:t>生活用水，</w:t>
            </w:r>
            <w:r>
              <w:rPr>
                <w:rFonts w:hint="eastAsia" w:cs="Times New Roman"/>
                <w:color w:val="auto"/>
                <w:sz w:val="21"/>
                <w:szCs w:val="21"/>
                <w:lang w:val="en-US" w:eastAsia="zh-CN"/>
              </w:rPr>
              <w:t>其中冷却用水包括冷却水塔用水及冷却水槽用水定期补充，不外排。</w:t>
            </w:r>
            <w:r>
              <w:rPr>
                <w:rFonts w:hint="eastAsia" w:ascii="Times New Roman" w:hAnsi="Times New Roman" w:cs="Times New Roman"/>
                <w:color w:val="auto"/>
                <w:sz w:val="21"/>
                <w:szCs w:val="21"/>
                <w:lang w:val="en-US" w:eastAsia="zh-CN"/>
              </w:rPr>
              <w:t>拟建项目</w:t>
            </w:r>
            <w:r>
              <w:rPr>
                <w:rFonts w:hint="default" w:ascii="Times New Roman" w:hAnsi="Times New Roman" w:eastAsia="宋体" w:cs="Times New Roman"/>
                <w:color w:val="auto"/>
                <w:sz w:val="21"/>
                <w:szCs w:val="21"/>
                <w:lang w:val="en-US" w:eastAsia="zh-CN"/>
              </w:rPr>
              <w:t>用水量核算见表</w:t>
            </w:r>
            <w:r>
              <w:rPr>
                <w:rFonts w:hint="eastAsia" w:cs="Times New Roman"/>
                <w:color w:val="auto"/>
                <w:sz w:val="21"/>
                <w:szCs w:val="21"/>
                <w:lang w:val="en-US" w:eastAsia="zh-CN"/>
              </w:rPr>
              <w:t>2-5</w:t>
            </w:r>
            <w:r>
              <w:rPr>
                <w:rFonts w:hint="default" w:ascii="Times New Roman" w:hAnsi="Times New Roman" w:eastAsia="宋体" w:cs="Times New Roman"/>
                <w:color w:val="auto"/>
                <w:sz w:val="21"/>
                <w:szCs w:val="21"/>
                <w:lang w:val="en-US" w:eastAsia="zh-CN"/>
              </w:rPr>
              <w:t>。</w:t>
            </w:r>
          </w:p>
          <w:p>
            <w:pPr>
              <w:autoSpaceDE w:val="0"/>
              <w:autoSpaceDN w:val="0"/>
              <w:adjustRightInd w:val="0"/>
              <w:spacing w:line="360" w:lineRule="auto"/>
              <w:jc w:val="center"/>
              <w:rPr>
                <w:rFonts w:hint="default" w:ascii="Times New Roman" w:hAnsi="Times New Roman" w:eastAsia="宋体" w:cs="Times New Roman"/>
                <w:color w:val="auto"/>
                <w:sz w:val="21"/>
                <w:szCs w:val="21"/>
                <w:lang w:val="en-US" w:eastAsia="zh-CN"/>
              </w:rPr>
            </w:pPr>
          </w:p>
          <w:p>
            <w:pPr>
              <w:autoSpaceDE w:val="0"/>
              <w:autoSpaceDN w:val="0"/>
              <w:adjustRightInd w:val="0"/>
              <w:spacing w:line="360" w:lineRule="auto"/>
              <w:jc w:val="center"/>
              <w:rPr>
                <w:rFonts w:hint="default" w:ascii="Times New Roman" w:hAnsi="Times New Roman" w:eastAsia="宋体" w:cs="Times New Roman"/>
                <w:color w:val="auto"/>
                <w:sz w:val="21"/>
                <w:szCs w:val="21"/>
                <w:lang w:val="en-US" w:eastAsia="zh-CN"/>
              </w:rPr>
            </w:pPr>
          </w:p>
          <w:p>
            <w:pPr>
              <w:autoSpaceDE w:val="0"/>
              <w:autoSpaceDN w:val="0"/>
              <w:adjustRightInd w:val="0"/>
              <w:spacing w:line="360" w:lineRule="auto"/>
              <w:jc w:val="center"/>
              <w:rPr>
                <w:rFonts w:hint="default" w:ascii="Times New Roman" w:hAnsi="Times New Roman" w:eastAsia="宋体" w:cs="Times New Roman"/>
                <w:color w:val="auto"/>
                <w:sz w:val="21"/>
                <w:szCs w:val="21"/>
                <w:lang w:val="en-US" w:eastAsia="zh-CN"/>
              </w:rPr>
            </w:pPr>
          </w:p>
          <w:p>
            <w:pPr>
              <w:autoSpaceDE w:val="0"/>
              <w:autoSpaceDN w:val="0"/>
              <w:adjustRightInd w:val="0"/>
              <w:spacing w:line="360" w:lineRule="auto"/>
              <w:jc w:val="center"/>
              <w:rPr>
                <w:rFonts w:hint="default" w:ascii="Times New Roman" w:hAnsi="Times New Roman" w:eastAsia="宋体" w:cs="Times New Roman"/>
                <w:color w:val="auto"/>
                <w:sz w:val="21"/>
                <w:szCs w:val="21"/>
                <w:lang w:val="en-US" w:eastAsia="zh-CN"/>
              </w:rPr>
            </w:pPr>
          </w:p>
          <w:p>
            <w:pPr>
              <w:autoSpaceDE w:val="0"/>
              <w:autoSpaceDN w:val="0"/>
              <w:adjustRightInd w:val="0"/>
              <w:spacing w:line="360" w:lineRule="auto"/>
              <w:jc w:val="center"/>
              <w:rPr>
                <w:rFonts w:hint="default" w:ascii="Times New Roman" w:hAnsi="Times New Roman" w:eastAsia="宋体" w:cs="Times New Roman"/>
                <w:color w:val="auto"/>
                <w:sz w:val="21"/>
                <w:szCs w:val="21"/>
                <w:lang w:val="en-US" w:eastAsia="zh-CN"/>
              </w:rPr>
            </w:pPr>
          </w:p>
          <w:p>
            <w:pPr>
              <w:autoSpaceDE w:val="0"/>
              <w:autoSpaceDN w:val="0"/>
              <w:adjustRightInd w:val="0"/>
              <w:spacing w:line="360" w:lineRule="auto"/>
              <w:jc w:val="center"/>
              <w:rPr>
                <w:rFonts w:hint="default" w:ascii="Times New Roman" w:hAnsi="Times New Roman" w:eastAsia="宋体" w:cs="Times New Roman"/>
                <w:color w:val="auto"/>
                <w:sz w:val="21"/>
                <w:szCs w:val="21"/>
                <w:lang w:val="en-US" w:eastAsia="zh-CN"/>
              </w:rPr>
            </w:pPr>
          </w:p>
          <w:p>
            <w:pPr>
              <w:autoSpaceDE w:val="0"/>
              <w:autoSpaceDN w:val="0"/>
              <w:adjustRightInd w:val="0"/>
              <w:spacing w:line="360" w:lineRule="auto"/>
              <w:jc w:val="both"/>
              <w:rPr>
                <w:rFonts w:hint="default" w:ascii="Times New Roman" w:hAnsi="Times New Roman" w:eastAsia="宋体" w:cs="Times New Roman"/>
                <w:color w:val="auto"/>
                <w:sz w:val="21"/>
                <w:szCs w:val="21"/>
                <w:lang w:val="en-US" w:eastAsia="zh-CN"/>
              </w:rPr>
            </w:pPr>
          </w:p>
          <w:p>
            <w:pPr>
              <w:autoSpaceDE w:val="0"/>
              <w:autoSpaceDN w:val="0"/>
              <w:adjustRightInd w:val="0"/>
              <w:spacing w:line="360" w:lineRule="auto"/>
              <w:jc w:val="center"/>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表</w:t>
            </w:r>
            <w:r>
              <w:rPr>
                <w:rFonts w:hint="eastAsia" w:ascii="Times New Roman" w:hAnsi="Times New Roman" w:cs="Times New Roman"/>
                <w:color w:val="0000FF"/>
                <w:sz w:val="21"/>
                <w:szCs w:val="21"/>
                <w:lang w:val="en-US" w:eastAsia="zh-CN"/>
              </w:rPr>
              <w:t>2-5</w:t>
            </w:r>
            <w:r>
              <w:rPr>
                <w:rFonts w:hint="default" w:ascii="Times New Roman" w:hAnsi="Times New Roman" w:eastAsia="宋体" w:cs="Times New Roman"/>
                <w:color w:val="0000FF"/>
                <w:sz w:val="21"/>
                <w:szCs w:val="21"/>
                <w:lang w:val="en-US" w:eastAsia="zh-CN"/>
              </w:rPr>
              <w:t xml:space="preserve">  </w:t>
            </w:r>
            <w:r>
              <w:rPr>
                <w:rFonts w:hint="eastAsia" w:ascii="Times New Roman" w:hAnsi="Times New Roman"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项目用水量估算表</w:t>
            </w:r>
          </w:p>
          <w:tbl>
            <w:tblPr>
              <w:tblStyle w:val="19"/>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25"/>
              <w:gridCol w:w="1567"/>
              <w:gridCol w:w="1319"/>
              <w:gridCol w:w="673"/>
              <w:gridCol w:w="594"/>
              <w:gridCol w:w="492"/>
              <w:gridCol w:w="633"/>
              <w:gridCol w:w="608"/>
              <w:gridCol w:w="19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5" w:hRule="atLeast"/>
                <w:jc w:val="center"/>
              </w:trPr>
              <w:tc>
                <w:tcPr>
                  <w:tcW w:w="425" w:type="dxa"/>
                  <w:vMerge w:val="restart"/>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序号</w:t>
                  </w:r>
                </w:p>
              </w:tc>
              <w:tc>
                <w:tcPr>
                  <w:tcW w:w="1567" w:type="dxa"/>
                  <w:vMerge w:val="restart"/>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用水单元</w:t>
                  </w:r>
                </w:p>
              </w:tc>
              <w:tc>
                <w:tcPr>
                  <w:tcW w:w="1319" w:type="dxa"/>
                  <w:vMerge w:val="restart"/>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用水指标</w:t>
                  </w:r>
                </w:p>
              </w:tc>
              <w:tc>
                <w:tcPr>
                  <w:tcW w:w="1267" w:type="dxa"/>
                  <w:gridSpan w:val="2"/>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用水量</w:t>
                  </w:r>
                </w:p>
              </w:tc>
              <w:tc>
                <w:tcPr>
                  <w:tcW w:w="492" w:type="dxa"/>
                  <w:vMerge w:val="restart"/>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排水系数</w:t>
                  </w:r>
                </w:p>
              </w:tc>
              <w:tc>
                <w:tcPr>
                  <w:tcW w:w="1241" w:type="dxa"/>
                  <w:gridSpan w:val="2"/>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排水量</w:t>
                  </w:r>
                </w:p>
              </w:tc>
              <w:tc>
                <w:tcPr>
                  <w:tcW w:w="1923" w:type="dxa"/>
                  <w:vMerge w:val="restart"/>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425" w:type="dxa"/>
                  <w:vMerge w:val="continue"/>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p>
              </w:tc>
              <w:tc>
                <w:tcPr>
                  <w:tcW w:w="1567" w:type="dxa"/>
                  <w:vMerge w:val="continue"/>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p>
              </w:tc>
              <w:tc>
                <w:tcPr>
                  <w:tcW w:w="1319" w:type="dxa"/>
                  <w:vMerge w:val="continue"/>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p>
              </w:tc>
              <w:tc>
                <w:tcPr>
                  <w:tcW w:w="67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m</w:t>
                  </w:r>
                  <w:r>
                    <w:rPr>
                      <w:rFonts w:hint="default" w:ascii="Times New Roman" w:hAnsi="Times New Roman" w:eastAsia="宋体" w:cs="Times New Roman"/>
                      <w:color w:val="0000FF"/>
                      <w:sz w:val="21"/>
                      <w:szCs w:val="21"/>
                      <w:vertAlign w:val="superscript"/>
                    </w:rPr>
                    <w:t>3</w:t>
                  </w:r>
                  <w:r>
                    <w:rPr>
                      <w:rFonts w:hint="default" w:ascii="Times New Roman" w:hAnsi="Times New Roman" w:eastAsia="宋体" w:cs="Times New Roman"/>
                      <w:color w:val="0000FF"/>
                      <w:sz w:val="21"/>
                      <w:szCs w:val="21"/>
                    </w:rPr>
                    <w:t>/d</w:t>
                  </w:r>
                </w:p>
              </w:tc>
              <w:tc>
                <w:tcPr>
                  <w:tcW w:w="594"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m</w:t>
                  </w:r>
                  <w:r>
                    <w:rPr>
                      <w:rFonts w:hint="default" w:ascii="Times New Roman" w:hAnsi="Times New Roman" w:eastAsia="宋体" w:cs="Times New Roman"/>
                      <w:color w:val="0000FF"/>
                      <w:sz w:val="21"/>
                      <w:szCs w:val="21"/>
                      <w:vertAlign w:val="superscript"/>
                    </w:rPr>
                    <w:t>3</w:t>
                  </w:r>
                  <w:r>
                    <w:rPr>
                      <w:rFonts w:hint="default" w:ascii="Times New Roman" w:hAnsi="Times New Roman" w:eastAsia="宋体" w:cs="Times New Roman"/>
                      <w:color w:val="0000FF"/>
                      <w:sz w:val="21"/>
                      <w:szCs w:val="21"/>
                    </w:rPr>
                    <w:t>/a</w:t>
                  </w:r>
                </w:p>
              </w:tc>
              <w:tc>
                <w:tcPr>
                  <w:tcW w:w="492" w:type="dxa"/>
                  <w:vMerge w:val="continue"/>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p>
              </w:tc>
              <w:tc>
                <w:tcPr>
                  <w:tcW w:w="63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m</w:t>
                  </w:r>
                  <w:r>
                    <w:rPr>
                      <w:rFonts w:hint="default" w:ascii="Times New Roman" w:hAnsi="Times New Roman" w:eastAsia="宋体" w:cs="Times New Roman"/>
                      <w:color w:val="0000FF"/>
                      <w:sz w:val="21"/>
                      <w:szCs w:val="21"/>
                      <w:vertAlign w:val="superscript"/>
                    </w:rPr>
                    <w:t>3</w:t>
                  </w:r>
                  <w:r>
                    <w:rPr>
                      <w:rFonts w:hint="default" w:ascii="Times New Roman" w:hAnsi="Times New Roman" w:eastAsia="宋体" w:cs="Times New Roman"/>
                      <w:color w:val="0000FF"/>
                      <w:sz w:val="21"/>
                      <w:szCs w:val="21"/>
                    </w:rPr>
                    <w:t>/d</w:t>
                  </w:r>
                </w:p>
              </w:tc>
              <w:tc>
                <w:tcPr>
                  <w:tcW w:w="608"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m</w:t>
                  </w:r>
                  <w:r>
                    <w:rPr>
                      <w:rFonts w:hint="default" w:ascii="Times New Roman" w:hAnsi="Times New Roman" w:eastAsia="宋体" w:cs="Times New Roman"/>
                      <w:color w:val="0000FF"/>
                      <w:sz w:val="21"/>
                      <w:szCs w:val="21"/>
                      <w:vertAlign w:val="superscript"/>
                    </w:rPr>
                    <w:t>3</w:t>
                  </w:r>
                  <w:r>
                    <w:rPr>
                      <w:rFonts w:hint="default" w:ascii="Times New Roman" w:hAnsi="Times New Roman" w:eastAsia="宋体" w:cs="Times New Roman"/>
                      <w:color w:val="0000FF"/>
                      <w:sz w:val="21"/>
                      <w:szCs w:val="21"/>
                    </w:rPr>
                    <w:t>/a</w:t>
                  </w:r>
                </w:p>
              </w:tc>
              <w:tc>
                <w:tcPr>
                  <w:tcW w:w="1923" w:type="dxa"/>
                  <w:vMerge w:val="continue"/>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425"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1</w:t>
                  </w:r>
                </w:p>
              </w:tc>
              <w:tc>
                <w:tcPr>
                  <w:tcW w:w="1567"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地</w:t>
                  </w:r>
                  <w:r>
                    <w:rPr>
                      <w:rFonts w:hint="default" w:ascii="Times New Roman" w:hAnsi="Times New Roman" w:eastAsia="宋体" w:cs="Times New Roman"/>
                      <w:color w:val="0000FF"/>
                      <w:sz w:val="21"/>
                      <w:szCs w:val="21"/>
                      <w:lang w:val="en-US" w:eastAsia="zh-CN"/>
                    </w:rPr>
                    <w:t>面</w:t>
                  </w:r>
                  <w:r>
                    <w:rPr>
                      <w:rFonts w:hint="default" w:ascii="Times New Roman" w:hAnsi="Times New Roman" w:eastAsia="宋体" w:cs="Times New Roman"/>
                      <w:color w:val="0000FF"/>
                      <w:sz w:val="21"/>
                      <w:szCs w:val="21"/>
                    </w:rPr>
                    <w:t>清洁用水</w:t>
                  </w:r>
                </w:p>
              </w:tc>
              <w:tc>
                <w:tcPr>
                  <w:tcW w:w="1319"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0.</w:t>
                  </w:r>
                  <w:r>
                    <w:rPr>
                      <w:rFonts w:hint="default" w:ascii="Times New Roman" w:hAnsi="Times New Roman" w:eastAsia="宋体" w:cs="Times New Roman"/>
                      <w:color w:val="0000FF"/>
                      <w:sz w:val="21"/>
                      <w:szCs w:val="21"/>
                      <w:lang w:val="en-US" w:eastAsia="zh-CN"/>
                    </w:rPr>
                    <w:t>5L</w:t>
                  </w:r>
                  <w:r>
                    <w:rPr>
                      <w:rFonts w:hint="default" w:ascii="Times New Roman" w:hAnsi="Times New Roman" w:eastAsia="宋体" w:cs="Times New Roman"/>
                      <w:color w:val="0000FF"/>
                      <w:sz w:val="21"/>
                      <w:szCs w:val="21"/>
                    </w:rPr>
                    <w:t>/m</w:t>
                  </w:r>
                  <w:r>
                    <w:rPr>
                      <w:rFonts w:hint="default" w:ascii="Times New Roman" w:hAnsi="Times New Roman" w:eastAsia="宋体" w:cs="Times New Roman"/>
                      <w:color w:val="0000FF"/>
                      <w:sz w:val="21"/>
                      <w:szCs w:val="21"/>
                      <w:vertAlign w:val="superscript"/>
                    </w:rPr>
                    <w:t>2</w:t>
                  </w:r>
                </w:p>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一周一次</w:t>
                  </w:r>
                </w:p>
              </w:tc>
              <w:tc>
                <w:tcPr>
                  <w:tcW w:w="67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1.0</w:t>
                  </w:r>
                </w:p>
              </w:tc>
              <w:tc>
                <w:tcPr>
                  <w:tcW w:w="594"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48</w:t>
                  </w:r>
                </w:p>
              </w:tc>
              <w:tc>
                <w:tcPr>
                  <w:tcW w:w="492"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0.9</w:t>
                  </w:r>
                </w:p>
              </w:tc>
              <w:tc>
                <w:tcPr>
                  <w:tcW w:w="63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0.9</w:t>
                  </w:r>
                </w:p>
              </w:tc>
              <w:tc>
                <w:tcPr>
                  <w:tcW w:w="608"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43.2</w:t>
                  </w:r>
                </w:p>
              </w:tc>
              <w:tc>
                <w:tcPr>
                  <w:tcW w:w="192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废水排放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425"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2</w:t>
                  </w:r>
                </w:p>
              </w:tc>
              <w:tc>
                <w:tcPr>
                  <w:tcW w:w="1567"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生活</w:t>
                  </w:r>
                  <w:r>
                    <w:rPr>
                      <w:rFonts w:hint="default" w:ascii="Times New Roman" w:hAnsi="Times New Roman" w:eastAsia="宋体" w:cs="Times New Roman"/>
                      <w:color w:val="0000FF"/>
                      <w:sz w:val="21"/>
                      <w:szCs w:val="21"/>
                      <w:lang w:val="en-US" w:eastAsia="zh-CN"/>
                    </w:rPr>
                    <w:t>用水</w:t>
                  </w:r>
                  <w:r>
                    <w:rPr>
                      <w:rFonts w:hint="eastAsia" w:cs="Times New Roman"/>
                      <w:color w:val="0000FF"/>
                      <w:sz w:val="21"/>
                      <w:szCs w:val="21"/>
                      <w:lang w:val="en-US" w:eastAsia="zh-CN"/>
                    </w:rPr>
                    <w:t>(含食堂用水)</w:t>
                  </w:r>
                </w:p>
              </w:tc>
              <w:tc>
                <w:tcPr>
                  <w:tcW w:w="1319"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eastAsia" w:cs="Times New Roman"/>
                      <w:color w:val="0000FF"/>
                      <w:sz w:val="21"/>
                      <w:szCs w:val="21"/>
                      <w:lang w:val="en-US" w:eastAsia="zh-CN"/>
                    </w:rPr>
                    <w:t>150</w:t>
                  </w:r>
                  <w:r>
                    <w:rPr>
                      <w:rFonts w:hint="default" w:ascii="Times New Roman" w:hAnsi="Times New Roman" w:eastAsia="宋体" w:cs="Times New Roman"/>
                      <w:color w:val="0000FF"/>
                      <w:sz w:val="21"/>
                      <w:szCs w:val="21"/>
                    </w:rPr>
                    <w:t>L/人•d</w:t>
                  </w:r>
                </w:p>
              </w:tc>
              <w:tc>
                <w:tcPr>
                  <w:tcW w:w="67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1.5</w:t>
                  </w:r>
                </w:p>
              </w:tc>
              <w:tc>
                <w:tcPr>
                  <w:tcW w:w="594"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495</w:t>
                  </w:r>
                </w:p>
              </w:tc>
              <w:tc>
                <w:tcPr>
                  <w:tcW w:w="492"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0.9</w:t>
                  </w:r>
                </w:p>
              </w:tc>
              <w:tc>
                <w:tcPr>
                  <w:tcW w:w="63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1.35</w:t>
                  </w:r>
                </w:p>
              </w:tc>
              <w:tc>
                <w:tcPr>
                  <w:tcW w:w="608"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445.5</w:t>
                  </w:r>
                </w:p>
              </w:tc>
              <w:tc>
                <w:tcPr>
                  <w:tcW w:w="192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废水排放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425"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3</w:t>
                  </w:r>
                </w:p>
              </w:tc>
              <w:tc>
                <w:tcPr>
                  <w:tcW w:w="1567"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冷却水塔补充水</w:t>
                  </w:r>
                </w:p>
              </w:tc>
              <w:tc>
                <w:tcPr>
                  <w:tcW w:w="1319"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新鲜水补充量</w:t>
                  </w:r>
                  <w:r>
                    <w:rPr>
                      <w:rFonts w:hint="eastAsia" w:cs="Times New Roman"/>
                      <w:color w:val="0000FF"/>
                      <w:sz w:val="21"/>
                      <w:szCs w:val="21"/>
                      <w:lang w:val="en-US" w:eastAsia="zh-CN"/>
                    </w:rPr>
                    <w:t>0.07</w:t>
                  </w:r>
                  <w:r>
                    <w:rPr>
                      <w:rFonts w:hint="default" w:ascii="Times New Roman" w:hAnsi="Times New Roman" w:eastAsia="宋体" w:cs="Times New Roman"/>
                      <w:color w:val="0000FF"/>
                      <w:sz w:val="21"/>
                      <w:szCs w:val="21"/>
                      <w:lang w:val="en-US" w:eastAsia="zh-CN"/>
                    </w:rPr>
                    <w:t>m</w:t>
                  </w:r>
                  <w:r>
                    <w:rPr>
                      <w:rFonts w:hint="default" w:ascii="Times New Roman" w:hAnsi="Times New Roman" w:eastAsia="宋体" w:cs="Times New Roman"/>
                      <w:color w:val="0000FF"/>
                      <w:sz w:val="21"/>
                      <w:szCs w:val="21"/>
                      <w:vertAlign w:val="superscript"/>
                      <w:lang w:val="en-US" w:eastAsia="zh-CN"/>
                    </w:rPr>
                    <w:t>3</w:t>
                  </w:r>
                  <w:r>
                    <w:rPr>
                      <w:rFonts w:hint="default" w:ascii="Times New Roman" w:hAnsi="Times New Roman" w:eastAsia="宋体" w:cs="Times New Roman"/>
                      <w:color w:val="0000FF"/>
                      <w:sz w:val="21"/>
                      <w:szCs w:val="21"/>
                      <w:lang w:val="en-US" w:eastAsia="zh-CN"/>
                    </w:rPr>
                    <w:t>/</w:t>
                  </w:r>
                  <w:r>
                    <w:rPr>
                      <w:rFonts w:hint="default" w:ascii="Times New Roman" w:hAnsi="Times New Roman" w:eastAsia="宋体" w:cs="Times New Roman"/>
                      <w:color w:val="0000FF"/>
                      <w:sz w:val="21"/>
                      <w:szCs w:val="21"/>
                    </w:rPr>
                    <w:t>d</w:t>
                  </w:r>
                </w:p>
              </w:tc>
              <w:tc>
                <w:tcPr>
                  <w:tcW w:w="67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0.07</w:t>
                  </w:r>
                </w:p>
              </w:tc>
              <w:tc>
                <w:tcPr>
                  <w:tcW w:w="594"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23.1</w:t>
                  </w:r>
                </w:p>
              </w:tc>
              <w:tc>
                <w:tcPr>
                  <w:tcW w:w="492"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w:t>
                  </w:r>
                </w:p>
              </w:tc>
              <w:tc>
                <w:tcPr>
                  <w:tcW w:w="63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w:t>
                  </w:r>
                </w:p>
              </w:tc>
              <w:tc>
                <w:tcPr>
                  <w:tcW w:w="608"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w:t>
                  </w:r>
                </w:p>
              </w:tc>
              <w:tc>
                <w:tcPr>
                  <w:tcW w:w="192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损失主要为蒸发损失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425"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4</w:t>
                  </w:r>
                </w:p>
              </w:tc>
              <w:tc>
                <w:tcPr>
                  <w:tcW w:w="1567" w:type="dxa"/>
                  <w:tcBorders>
                    <w:tl2br w:val="nil"/>
                    <w:tr2bl w:val="nil"/>
                  </w:tcBorders>
                  <w:noWrap w:val="0"/>
                  <w:vAlign w:val="center"/>
                </w:tcPr>
                <w:p>
                  <w:pPr>
                    <w:snapToGrid w:val="0"/>
                    <w:spacing w:line="240" w:lineRule="auto"/>
                    <w:jc w:val="both"/>
                    <w:rPr>
                      <w:rFonts w:hint="eastAsia" w:ascii="Times New Roman" w:hAnsi="Times New Roman" w:eastAsia="宋体" w:cs="Times New Roman"/>
                      <w:color w:val="0000FF"/>
                      <w:kern w:val="2"/>
                      <w:sz w:val="21"/>
                      <w:szCs w:val="21"/>
                      <w:lang w:val="en-US" w:eastAsia="zh-CN" w:bidi="ar-SA"/>
                    </w:rPr>
                  </w:pPr>
                  <w:r>
                    <w:rPr>
                      <w:rFonts w:hint="eastAsia" w:ascii="Times New Roman" w:hAnsi="Times New Roman" w:cs="Times New Roman"/>
                      <w:color w:val="0000FF"/>
                      <w:sz w:val="21"/>
                      <w:szCs w:val="21"/>
                      <w:lang w:val="en-US" w:eastAsia="zh-CN"/>
                    </w:rPr>
                    <w:t>冷却水</w:t>
                  </w:r>
                  <w:r>
                    <w:rPr>
                      <w:rFonts w:hint="eastAsia" w:cs="Times New Roman"/>
                      <w:color w:val="0000FF"/>
                      <w:sz w:val="21"/>
                      <w:szCs w:val="21"/>
                      <w:lang w:val="en-US" w:eastAsia="zh-CN"/>
                    </w:rPr>
                    <w:t>槽</w:t>
                  </w:r>
                  <w:r>
                    <w:rPr>
                      <w:rFonts w:hint="default" w:ascii="Times New Roman" w:hAnsi="Times New Roman" w:eastAsia="宋体" w:cs="Times New Roman"/>
                      <w:color w:val="0000FF"/>
                      <w:sz w:val="21"/>
                      <w:szCs w:val="21"/>
                      <w:lang w:val="en-US" w:eastAsia="zh-CN"/>
                    </w:rPr>
                    <w:t>补充水</w:t>
                  </w:r>
                </w:p>
              </w:tc>
              <w:tc>
                <w:tcPr>
                  <w:tcW w:w="1319"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kern w:val="2"/>
                      <w:sz w:val="21"/>
                      <w:szCs w:val="21"/>
                      <w:lang w:val="en-US" w:eastAsia="zh-CN" w:bidi="ar-SA"/>
                    </w:rPr>
                  </w:pPr>
                  <w:r>
                    <w:rPr>
                      <w:rFonts w:hint="default" w:ascii="Times New Roman" w:hAnsi="Times New Roman" w:eastAsia="宋体" w:cs="Times New Roman"/>
                      <w:color w:val="0000FF"/>
                      <w:sz w:val="21"/>
                      <w:szCs w:val="21"/>
                      <w:lang w:val="en-US" w:eastAsia="zh-CN"/>
                    </w:rPr>
                    <w:t>新鲜水补充量</w:t>
                  </w:r>
                  <w:r>
                    <w:rPr>
                      <w:rFonts w:hint="eastAsia" w:cs="Times New Roman"/>
                      <w:color w:val="0000FF"/>
                      <w:sz w:val="21"/>
                      <w:szCs w:val="21"/>
                      <w:lang w:val="en-US" w:eastAsia="zh-CN"/>
                    </w:rPr>
                    <w:t>4</w:t>
                  </w:r>
                  <w:r>
                    <w:rPr>
                      <w:rFonts w:hint="default" w:ascii="Times New Roman" w:hAnsi="Times New Roman" w:eastAsia="宋体" w:cs="Times New Roman"/>
                      <w:color w:val="0000FF"/>
                      <w:sz w:val="21"/>
                      <w:szCs w:val="21"/>
                      <w:lang w:val="en-US" w:eastAsia="zh-CN"/>
                    </w:rPr>
                    <w:t>m</w:t>
                  </w:r>
                  <w:r>
                    <w:rPr>
                      <w:rFonts w:hint="default" w:ascii="Times New Roman" w:hAnsi="Times New Roman" w:eastAsia="宋体" w:cs="Times New Roman"/>
                      <w:color w:val="0000FF"/>
                      <w:sz w:val="21"/>
                      <w:szCs w:val="21"/>
                      <w:vertAlign w:val="superscript"/>
                      <w:lang w:val="en-US" w:eastAsia="zh-CN"/>
                    </w:rPr>
                    <w:t>3</w:t>
                  </w:r>
                  <w:r>
                    <w:rPr>
                      <w:rFonts w:hint="default" w:ascii="Times New Roman" w:hAnsi="Times New Roman" w:eastAsia="宋体" w:cs="Times New Roman"/>
                      <w:color w:val="0000FF"/>
                      <w:sz w:val="21"/>
                      <w:szCs w:val="21"/>
                      <w:lang w:val="en-US" w:eastAsia="zh-CN"/>
                    </w:rPr>
                    <w:t>/</w:t>
                  </w:r>
                  <w:r>
                    <w:rPr>
                      <w:rFonts w:hint="default" w:ascii="Times New Roman" w:hAnsi="Times New Roman" w:eastAsia="宋体" w:cs="Times New Roman"/>
                      <w:color w:val="0000FF"/>
                      <w:sz w:val="21"/>
                      <w:szCs w:val="21"/>
                    </w:rPr>
                    <w:t>d</w:t>
                  </w:r>
                </w:p>
              </w:tc>
              <w:tc>
                <w:tcPr>
                  <w:tcW w:w="67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kern w:val="2"/>
                      <w:sz w:val="21"/>
                      <w:szCs w:val="21"/>
                      <w:lang w:val="en-US" w:eastAsia="zh-CN" w:bidi="ar-SA"/>
                    </w:rPr>
                  </w:pPr>
                  <w:r>
                    <w:rPr>
                      <w:rFonts w:hint="eastAsia" w:eastAsia="宋体" w:cs="Times New Roman"/>
                      <w:color w:val="0000FF"/>
                      <w:kern w:val="2"/>
                      <w:sz w:val="21"/>
                      <w:szCs w:val="21"/>
                      <w:lang w:val="en-US" w:eastAsia="zh-CN" w:bidi="ar-SA"/>
                    </w:rPr>
                    <w:t>4</w:t>
                  </w:r>
                </w:p>
              </w:tc>
              <w:tc>
                <w:tcPr>
                  <w:tcW w:w="594"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kern w:val="2"/>
                      <w:sz w:val="21"/>
                      <w:szCs w:val="21"/>
                      <w:lang w:val="en-US" w:eastAsia="zh-CN" w:bidi="ar-SA"/>
                    </w:rPr>
                  </w:pPr>
                  <w:r>
                    <w:rPr>
                      <w:rFonts w:hint="eastAsia" w:eastAsia="宋体" w:cs="Times New Roman"/>
                      <w:color w:val="0000FF"/>
                      <w:kern w:val="2"/>
                      <w:sz w:val="21"/>
                      <w:szCs w:val="21"/>
                      <w:lang w:val="en-US" w:eastAsia="zh-CN" w:bidi="ar-SA"/>
                    </w:rPr>
                    <w:t>1320</w:t>
                  </w:r>
                </w:p>
              </w:tc>
              <w:tc>
                <w:tcPr>
                  <w:tcW w:w="492"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kern w:val="2"/>
                      <w:sz w:val="21"/>
                      <w:szCs w:val="21"/>
                      <w:lang w:val="en-US" w:eastAsia="zh-CN" w:bidi="ar-SA"/>
                    </w:rPr>
                  </w:pPr>
                  <w:r>
                    <w:rPr>
                      <w:rFonts w:hint="default" w:ascii="Times New Roman" w:hAnsi="Times New Roman" w:eastAsia="宋体" w:cs="Times New Roman"/>
                      <w:color w:val="0000FF"/>
                      <w:sz w:val="21"/>
                      <w:szCs w:val="21"/>
                      <w:lang w:val="en-US" w:eastAsia="zh-CN"/>
                    </w:rPr>
                    <w:t>/</w:t>
                  </w:r>
                </w:p>
              </w:tc>
              <w:tc>
                <w:tcPr>
                  <w:tcW w:w="63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kern w:val="2"/>
                      <w:sz w:val="21"/>
                      <w:szCs w:val="21"/>
                      <w:lang w:val="en-US" w:eastAsia="zh-CN" w:bidi="ar-SA"/>
                    </w:rPr>
                  </w:pPr>
                  <w:r>
                    <w:rPr>
                      <w:rFonts w:hint="default" w:ascii="Times New Roman" w:hAnsi="Times New Roman" w:eastAsia="宋体" w:cs="Times New Roman"/>
                      <w:color w:val="0000FF"/>
                      <w:sz w:val="21"/>
                      <w:szCs w:val="21"/>
                      <w:lang w:val="en-US" w:eastAsia="zh-CN"/>
                    </w:rPr>
                    <w:t>/</w:t>
                  </w:r>
                </w:p>
              </w:tc>
              <w:tc>
                <w:tcPr>
                  <w:tcW w:w="608"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kern w:val="2"/>
                      <w:sz w:val="21"/>
                      <w:szCs w:val="21"/>
                      <w:lang w:val="en-US" w:eastAsia="zh-CN" w:bidi="ar-SA"/>
                    </w:rPr>
                  </w:pPr>
                  <w:r>
                    <w:rPr>
                      <w:rFonts w:hint="default" w:ascii="Times New Roman" w:hAnsi="Times New Roman" w:eastAsia="宋体" w:cs="Times New Roman"/>
                      <w:color w:val="0000FF"/>
                      <w:sz w:val="21"/>
                      <w:szCs w:val="21"/>
                      <w:lang w:val="en-US" w:eastAsia="zh-CN"/>
                    </w:rPr>
                    <w:t>/</w:t>
                  </w:r>
                </w:p>
              </w:tc>
              <w:tc>
                <w:tcPr>
                  <w:tcW w:w="1923" w:type="dxa"/>
                  <w:tcBorders>
                    <w:tl2br w:val="nil"/>
                    <w:tr2bl w:val="nil"/>
                  </w:tcBorders>
                  <w:noWrap w:val="0"/>
                  <w:vAlign w:val="center"/>
                </w:tcPr>
                <w:p>
                  <w:pPr>
                    <w:snapToGrid w:val="0"/>
                    <w:spacing w:line="240" w:lineRule="auto"/>
                    <w:jc w:val="both"/>
                    <w:rPr>
                      <w:rFonts w:hint="eastAsia" w:ascii="Times New Roman" w:hAnsi="Times New Roman" w:eastAsia="宋体" w:cs="Times New Roman"/>
                      <w:color w:val="0000FF"/>
                      <w:kern w:val="2"/>
                      <w:sz w:val="21"/>
                      <w:szCs w:val="21"/>
                      <w:lang w:val="en-US" w:eastAsia="zh-CN" w:bidi="ar-SA"/>
                    </w:rPr>
                  </w:pPr>
                  <w:r>
                    <w:rPr>
                      <w:rFonts w:hint="eastAsia" w:cs="Times New Roman"/>
                      <w:color w:val="0000FF"/>
                      <w:sz w:val="21"/>
                      <w:szCs w:val="21"/>
                      <w:lang w:val="en-US" w:eastAsia="zh-CN"/>
                    </w:rPr>
                    <w:t>损失主要为蒸发损失及产品带走损耗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5" w:hRule="atLeast"/>
                <w:jc w:val="center"/>
              </w:trPr>
              <w:tc>
                <w:tcPr>
                  <w:tcW w:w="425"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lang w:eastAsia="zh-CN"/>
                    </w:rPr>
                  </w:pPr>
                  <w:r>
                    <w:rPr>
                      <w:rFonts w:hint="default" w:ascii="Times New Roman" w:hAnsi="Times New Roman" w:eastAsia="宋体" w:cs="Times New Roman"/>
                      <w:color w:val="0000FF"/>
                      <w:sz w:val="21"/>
                      <w:szCs w:val="21"/>
                      <w:highlight w:val="none"/>
                      <w:lang w:val="en-US" w:eastAsia="zh-CN"/>
                    </w:rPr>
                    <w:t>5</w:t>
                  </w:r>
                </w:p>
              </w:tc>
              <w:tc>
                <w:tcPr>
                  <w:tcW w:w="1567"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合计</w:t>
                  </w:r>
                </w:p>
              </w:tc>
              <w:tc>
                <w:tcPr>
                  <w:tcW w:w="1319"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lang w:val="en-US" w:eastAsia="zh-CN"/>
                    </w:rPr>
                    <w:t>/</w:t>
                  </w:r>
                  <w:r>
                    <w:rPr>
                      <w:rFonts w:hint="default" w:ascii="Times New Roman" w:hAnsi="Times New Roman" w:eastAsia="宋体" w:cs="Times New Roman"/>
                      <w:color w:val="0000FF"/>
                      <w:sz w:val="21"/>
                      <w:szCs w:val="21"/>
                      <w:highlight w:val="none"/>
                    </w:rPr>
                    <w:cr/>
                  </w:r>
                </w:p>
              </w:tc>
              <w:tc>
                <w:tcPr>
                  <w:tcW w:w="67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lang w:val="en-US" w:eastAsia="zh-CN"/>
                    </w:rPr>
                  </w:pPr>
                  <w:r>
                    <w:rPr>
                      <w:rFonts w:hint="eastAsia" w:cs="Times New Roman"/>
                      <w:color w:val="0000FF"/>
                      <w:sz w:val="21"/>
                      <w:szCs w:val="21"/>
                      <w:highlight w:val="none"/>
                      <w:lang w:val="en-US" w:eastAsia="zh-CN"/>
                    </w:rPr>
                    <w:t>6.57</w:t>
                  </w:r>
                </w:p>
              </w:tc>
              <w:tc>
                <w:tcPr>
                  <w:tcW w:w="594"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lang w:val="en-US" w:eastAsia="zh-CN"/>
                    </w:rPr>
                  </w:pPr>
                  <w:r>
                    <w:rPr>
                      <w:rFonts w:hint="eastAsia" w:cs="Times New Roman"/>
                      <w:color w:val="0000FF"/>
                      <w:sz w:val="21"/>
                      <w:szCs w:val="21"/>
                      <w:highlight w:val="none"/>
                      <w:lang w:val="en-US" w:eastAsia="zh-CN"/>
                    </w:rPr>
                    <w:t>1886.1</w:t>
                  </w:r>
                </w:p>
              </w:tc>
              <w:tc>
                <w:tcPr>
                  <w:tcW w:w="492"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w:t>
                  </w:r>
                </w:p>
              </w:tc>
              <w:tc>
                <w:tcPr>
                  <w:tcW w:w="63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lang w:val="en-US" w:eastAsia="zh-CN"/>
                    </w:rPr>
                  </w:pPr>
                  <w:r>
                    <w:rPr>
                      <w:rFonts w:hint="eastAsia" w:cs="Times New Roman"/>
                      <w:color w:val="0000FF"/>
                      <w:sz w:val="21"/>
                      <w:szCs w:val="21"/>
                      <w:highlight w:val="none"/>
                      <w:lang w:val="en-US" w:eastAsia="zh-CN"/>
                    </w:rPr>
                    <w:t>2.25</w:t>
                  </w:r>
                </w:p>
              </w:tc>
              <w:tc>
                <w:tcPr>
                  <w:tcW w:w="608"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lang w:val="en-US" w:eastAsia="zh-CN"/>
                    </w:rPr>
                  </w:pPr>
                  <w:r>
                    <w:rPr>
                      <w:rFonts w:hint="eastAsia" w:cs="Times New Roman"/>
                      <w:color w:val="0000FF"/>
                      <w:sz w:val="21"/>
                      <w:szCs w:val="21"/>
                      <w:highlight w:val="none"/>
                      <w:lang w:val="en-US" w:eastAsia="zh-CN"/>
                    </w:rPr>
                    <w:t>488.7</w:t>
                  </w:r>
                </w:p>
              </w:tc>
              <w:tc>
                <w:tcPr>
                  <w:tcW w:w="1923" w:type="dxa"/>
                  <w:tcBorders>
                    <w:tl2br w:val="nil"/>
                    <w:tr2bl w:val="nil"/>
                  </w:tcBorders>
                  <w:noWrap w:val="0"/>
                  <w:vAlign w:val="center"/>
                </w:tcPr>
                <w:p>
                  <w:pPr>
                    <w:snapToGrid w:val="0"/>
                    <w:spacing w:line="240" w:lineRule="auto"/>
                    <w:jc w:val="both"/>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w:t>
                  </w:r>
                </w:p>
              </w:tc>
            </w:tr>
          </w:tbl>
          <w:p>
            <w:pPr>
              <w:autoSpaceDE w:val="0"/>
              <w:autoSpaceDN w:val="0"/>
              <w:adjustRightInd w:val="0"/>
              <w:spacing w:line="360" w:lineRule="auto"/>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4"/>
                <w:szCs w:val="24"/>
                <w:lang w:val="en-US" w:eastAsia="zh-CN"/>
              </w:rPr>
              <w:pict>
                <v:shape id="Object 41" o:spid="_x0000_s1027" o:spt="75" type="#_x0000_t75" style="position:absolute;left:0pt;margin-left:-11.6pt;margin-top:3.2pt;height:217.85pt;width:408pt;z-index:251661312;mso-width-relative:page;mso-height-relative:page;" o:ole="t" filled="f" o:preferrelative="t" stroked="f" coordsize="21600,21600">
                  <v:path/>
                  <v:fill on="f" focussize="0,0"/>
                  <v:stroke on="f"/>
                  <v:imagedata r:id="rId11" o:title=""/>
                  <o:lock v:ext="edit" aspectratio="t"/>
                </v:shape>
                <o:OLEObject Type="Embed" ProgID="Visio.Drawing.15" ShapeID="Object 41" DrawAspect="Content" ObjectID="_1468075725" r:id="rId10">
                  <o:LockedField>false</o:LockedField>
                </o:OLEObject>
              </w:pict>
            </w: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rPr>
                <w:rFonts w:hint="default" w:ascii="Times New Roman" w:hAnsi="Times New Roman" w:eastAsia="宋体" w:cs="Times New Roman"/>
                <w:b/>
                <w:bCs/>
                <w:color w:val="0000FF"/>
                <w:sz w:val="21"/>
                <w:szCs w:val="21"/>
                <w:lang w:val="en-US" w:eastAsia="zh-CN"/>
              </w:rPr>
            </w:pPr>
          </w:p>
          <w:p>
            <w:pPr>
              <w:autoSpaceDE w:val="0"/>
              <w:autoSpaceDN w:val="0"/>
              <w:adjustRightInd w:val="0"/>
              <w:spacing w:line="360" w:lineRule="auto"/>
              <w:ind w:firstLine="420" w:firstLineChars="200"/>
              <w:rPr>
                <w:rFonts w:hint="eastAsia" w:cs="Times New Roman"/>
                <w:color w:val="auto"/>
                <w:sz w:val="21"/>
                <w:szCs w:val="21"/>
                <w:lang w:val="en-US" w:eastAsia="zh-CN"/>
              </w:rPr>
            </w:pPr>
          </w:p>
          <w:p>
            <w:pPr>
              <w:autoSpaceDE w:val="0"/>
              <w:autoSpaceDN w:val="0"/>
              <w:adjustRightInd w:val="0"/>
              <w:spacing w:line="360" w:lineRule="auto"/>
              <w:ind w:firstLine="420" w:firstLineChars="200"/>
              <w:rPr>
                <w:rFonts w:hint="eastAsia" w:cs="Times New Roman"/>
                <w:color w:val="auto"/>
                <w:sz w:val="21"/>
                <w:szCs w:val="21"/>
                <w:lang w:val="en-US" w:eastAsia="zh-CN"/>
              </w:rPr>
            </w:pPr>
          </w:p>
          <w:p>
            <w:pPr>
              <w:autoSpaceDE w:val="0"/>
              <w:autoSpaceDN w:val="0"/>
              <w:adjustRightInd w:val="0"/>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项目废水</w:t>
            </w:r>
            <w:r>
              <w:rPr>
                <w:rFonts w:hint="eastAsia" w:cs="Times New Roman"/>
                <w:color w:val="auto"/>
                <w:sz w:val="21"/>
                <w:szCs w:val="21"/>
                <w:lang w:val="en-US" w:eastAsia="zh-CN"/>
              </w:rPr>
              <w:t>经隔油池预处理后，</w:t>
            </w:r>
            <w:r>
              <w:rPr>
                <w:rFonts w:hint="default" w:ascii="Times New Roman" w:hAnsi="Times New Roman" w:eastAsia="宋体" w:cs="Times New Roman"/>
                <w:color w:val="auto"/>
                <w:sz w:val="21"/>
                <w:szCs w:val="21"/>
                <w:lang w:val="en-US" w:eastAsia="zh-CN"/>
              </w:rPr>
              <w:t>依托</w:t>
            </w:r>
            <w:r>
              <w:rPr>
                <w:rFonts w:hint="eastAsia" w:cs="Times New Roman"/>
                <w:color w:val="auto"/>
                <w:sz w:val="21"/>
                <w:szCs w:val="21"/>
                <w:lang w:val="en-US" w:eastAsia="zh-CN"/>
              </w:rPr>
              <w:t>厂区</w:t>
            </w:r>
            <w:r>
              <w:rPr>
                <w:rFonts w:hint="default" w:ascii="Times New Roman" w:hAnsi="Times New Roman" w:eastAsia="宋体" w:cs="Times New Roman"/>
                <w:color w:val="auto"/>
                <w:sz w:val="21"/>
                <w:szCs w:val="21"/>
                <w:lang w:val="en-US" w:eastAsia="zh-CN"/>
              </w:rPr>
              <w:t>已建的生化池进行处理达《污水综合排放标准》(GB8978-1996)三级标准后排入园区污水管网，然后进入</w:t>
            </w:r>
            <w:r>
              <w:rPr>
                <w:rFonts w:hint="eastAsia" w:cs="Times New Roman"/>
                <w:color w:val="auto"/>
                <w:sz w:val="21"/>
                <w:szCs w:val="21"/>
                <w:lang w:val="en-US" w:eastAsia="zh-CN"/>
              </w:rPr>
              <w:t>双桥</w:t>
            </w:r>
            <w:r>
              <w:rPr>
                <w:rFonts w:hint="default" w:ascii="Times New Roman" w:hAnsi="Times New Roman" w:eastAsia="宋体" w:cs="Times New Roman"/>
                <w:color w:val="auto"/>
                <w:sz w:val="21"/>
                <w:szCs w:val="21"/>
                <w:lang w:val="en-US" w:eastAsia="zh-CN"/>
              </w:rPr>
              <w:t>污水处理厂进一步处理，达《城镇污水处理厂污染物排放标准》（GB18918-2002）的一级A标准后排入</w:t>
            </w:r>
            <w:r>
              <w:rPr>
                <w:rFonts w:hint="eastAsia" w:cs="Times New Roman"/>
                <w:color w:val="auto"/>
                <w:sz w:val="21"/>
                <w:szCs w:val="21"/>
                <w:lang w:val="en-US" w:eastAsia="zh-CN"/>
              </w:rPr>
              <w:t>太平河</w:t>
            </w:r>
            <w:r>
              <w:rPr>
                <w:rFonts w:hint="default" w:ascii="Times New Roman" w:hAnsi="Times New Roman" w:eastAsia="宋体" w:cs="Times New Roman"/>
                <w:color w:val="auto"/>
                <w:sz w:val="21"/>
                <w:szCs w:val="21"/>
                <w:lang w:val="en-US" w:eastAsia="zh-CN"/>
              </w:rPr>
              <w:t>。</w:t>
            </w:r>
          </w:p>
          <w:p>
            <w:pPr>
              <w:tabs>
                <w:tab w:val="left" w:pos="352"/>
              </w:tabs>
              <w:autoSpaceDE w:val="0"/>
              <w:autoSpaceDN w:val="0"/>
              <w:adjustRightInd w:val="0"/>
              <w:spacing w:line="360" w:lineRule="auto"/>
              <w:ind w:firstLine="420" w:firstLineChars="200"/>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②供电</w:t>
            </w:r>
          </w:p>
          <w:p>
            <w:pPr>
              <w:autoSpaceDE w:val="0"/>
              <w:autoSpaceDN w:val="0"/>
              <w:adjustRightInd w:val="0"/>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项目依托</w:t>
            </w:r>
            <w:r>
              <w:rPr>
                <w:rFonts w:hint="eastAsia" w:cs="Times New Roman"/>
                <w:color w:val="auto"/>
                <w:sz w:val="21"/>
                <w:szCs w:val="21"/>
                <w:lang w:val="en-US" w:eastAsia="zh-CN"/>
              </w:rPr>
              <w:t>厂区</w:t>
            </w:r>
            <w:r>
              <w:rPr>
                <w:rFonts w:hint="default" w:ascii="Times New Roman" w:hAnsi="Times New Roman" w:eastAsia="宋体" w:cs="Times New Roman"/>
                <w:color w:val="auto"/>
                <w:sz w:val="21"/>
                <w:szCs w:val="21"/>
                <w:lang w:val="en-US" w:eastAsia="zh-CN"/>
              </w:rPr>
              <w:t>已建的完善供电管网，依托市政供电系统，年用电量为</w:t>
            </w:r>
            <w:r>
              <w:rPr>
                <w:rFonts w:hint="eastAsia" w:cs="Times New Roman"/>
                <w:color w:val="auto"/>
                <w:sz w:val="21"/>
                <w:szCs w:val="21"/>
                <w:lang w:val="en-US" w:eastAsia="zh-CN"/>
              </w:rPr>
              <w:t>57</w:t>
            </w:r>
            <w:r>
              <w:rPr>
                <w:rFonts w:hint="default" w:ascii="Times New Roman" w:hAnsi="Times New Roman" w:eastAsia="宋体" w:cs="Times New Roman"/>
                <w:color w:val="auto"/>
                <w:sz w:val="21"/>
                <w:szCs w:val="21"/>
                <w:lang w:val="en-US" w:eastAsia="zh-CN"/>
              </w:rPr>
              <w:t>万kWh/a。</w:t>
            </w:r>
          </w:p>
          <w:p>
            <w:pPr>
              <w:pStyle w:val="46"/>
              <w:numPr>
                <w:ilvl w:val="0"/>
                <w:numId w:val="0"/>
              </w:numPr>
              <w:bidi w:val="0"/>
              <w:ind w:leftChars="0"/>
              <w:rPr>
                <w:rFonts w:hint="default" w:ascii="Times New Roman" w:hAnsi="Times New Roman" w:cs="Times New Roman"/>
                <w:color w:val="0000FF"/>
                <w:lang w:val="en-US" w:eastAsia="zh-CN"/>
              </w:rPr>
            </w:pPr>
            <w:r>
              <w:rPr>
                <w:rFonts w:hint="eastAsia" w:cs="Times New Roman"/>
                <w:color w:val="0000FF"/>
                <w:lang w:val="en-US" w:eastAsia="zh-CN"/>
              </w:rPr>
              <w:t>8.储运工程</w:t>
            </w:r>
          </w:p>
          <w:p>
            <w:pPr>
              <w:autoSpaceDE w:val="0"/>
              <w:autoSpaceDN w:val="0"/>
              <w:adjustRightInd w:val="0"/>
              <w:spacing w:line="360" w:lineRule="auto"/>
              <w:ind w:firstLine="420" w:firstLineChars="200"/>
              <w:rPr>
                <w:rFonts w:hint="default" w:ascii="Times New Roman" w:hAnsi="Times New Roman" w:eastAsia="宋体" w:cs="Times New Roman"/>
                <w:color w:val="0000FF"/>
                <w:sz w:val="21"/>
                <w:szCs w:val="21"/>
                <w:lang w:val="en-US" w:eastAsia="zh-CN"/>
              </w:rPr>
            </w:pPr>
            <w:r>
              <w:rPr>
                <w:rFonts w:hint="eastAsia" w:ascii="Times New Roman" w:hAnsi="Times New Roman" w:cs="Times New Roman"/>
                <w:color w:val="0000FF"/>
                <w:sz w:val="21"/>
                <w:szCs w:val="21"/>
                <w:lang w:val="en-US" w:eastAsia="zh-CN"/>
              </w:rPr>
              <w:t>拟建</w:t>
            </w:r>
            <w:r>
              <w:rPr>
                <w:rFonts w:hint="eastAsia" w:ascii="Times New Roman" w:hAnsi="Times New Roman" w:eastAsia="宋体" w:cs="Times New Roman"/>
                <w:color w:val="0000FF"/>
                <w:sz w:val="21"/>
                <w:szCs w:val="21"/>
                <w:lang w:val="en-US" w:eastAsia="zh-CN"/>
              </w:rPr>
              <w:t>项目储运位置主要为</w:t>
            </w:r>
            <w:r>
              <w:rPr>
                <w:rFonts w:hint="eastAsia" w:ascii="Times New Roman" w:hAnsi="Times New Roman" w:cs="Times New Roman"/>
                <w:color w:val="0000FF"/>
                <w:sz w:val="21"/>
                <w:szCs w:val="21"/>
                <w:lang w:val="en-US" w:eastAsia="zh-CN"/>
              </w:rPr>
              <w:t>原辅料库</w:t>
            </w:r>
            <w:r>
              <w:rPr>
                <w:rFonts w:hint="eastAsia" w:ascii="Times New Roman" w:hAnsi="Times New Roman" w:eastAsia="宋体" w:cs="Times New Roman"/>
                <w:color w:val="0000FF"/>
                <w:sz w:val="21"/>
                <w:szCs w:val="21"/>
                <w:lang w:val="en-US" w:eastAsia="zh-CN"/>
              </w:rPr>
              <w:t>，主要原辅材料储运情况详见表</w:t>
            </w:r>
            <w:r>
              <w:rPr>
                <w:rFonts w:hint="eastAsia" w:ascii="Times New Roman" w:hAnsi="Times New Roman" w:cs="Times New Roman"/>
                <w:color w:val="0000FF"/>
                <w:sz w:val="21"/>
                <w:szCs w:val="21"/>
                <w:lang w:val="en-US" w:eastAsia="zh-CN"/>
              </w:rPr>
              <w:t>2-6</w:t>
            </w:r>
            <w:r>
              <w:rPr>
                <w:rFonts w:hint="eastAsia" w:ascii="Times New Roman" w:hAnsi="Times New Roman" w:eastAsia="宋体" w:cs="Times New Roman"/>
                <w:color w:val="0000FF"/>
                <w:sz w:val="21"/>
                <w:szCs w:val="21"/>
                <w:lang w:val="en-US" w:eastAsia="zh-CN"/>
              </w:rPr>
              <w:t>。</w:t>
            </w:r>
          </w:p>
          <w:p>
            <w:pPr>
              <w:autoSpaceDE w:val="0"/>
              <w:autoSpaceDN w:val="0"/>
              <w:adjustRightInd w:val="0"/>
              <w:spacing w:line="360" w:lineRule="auto"/>
              <w:jc w:val="center"/>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表</w:t>
            </w:r>
            <w:r>
              <w:rPr>
                <w:rFonts w:hint="eastAsia" w:ascii="Times New Roman" w:hAnsi="Times New Roman" w:cs="Times New Roman"/>
                <w:color w:val="0000FF"/>
                <w:sz w:val="21"/>
                <w:szCs w:val="21"/>
                <w:lang w:val="en-US" w:eastAsia="zh-CN"/>
              </w:rPr>
              <w:t>2-6</w:t>
            </w:r>
            <w:r>
              <w:rPr>
                <w:rFonts w:hint="default" w:ascii="Times New Roman" w:hAnsi="Times New Roman" w:cs="Times New Roman"/>
                <w:color w:val="0000FF"/>
                <w:sz w:val="21"/>
                <w:szCs w:val="21"/>
                <w:lang w:val="en-US" w:eastAsia="zh-CN"/>
              </w:rPr>
              <w:t xml:space="preserve">  主要原辅材料</w:t>
            </w:r>
            <w:r>
              <w:rPr>
                <w:rFonts w:hint="eastAsia" w:ascii="Times New Roman" w:hAnsi="Times New Roman" w:cs="Times New Roman"/>
                <w:color w:val="0000FF"/>
                <w:sz w:val="21"/>
                <w:szCs w:val="21"/>
                <w:lang w:val="en-US" w:eastAsia="zh-CN"/>
              </w:rPr>
              <w:t>储运情况</w:t>
            </w:r>
            <w:r>
              <w:rPr>
                <w:rFonts w:hint="default" w:ascii="Times New Roman" w:hAnsi="Times New Roman" w:cs="Times New Roman"/>
                <w:color w:val="0000FF"/>
                <w:sz w:val="21"/>
                <w:szCs w:val="21"/>
                <w:lang w:val="en-US" w:eastAsia="zh-CN"/>
              </w:rPr>
              <w:t>一览表</w:t>
            </w:r>
          </w:p>
          <w:tbl>
            <w:tblPr>
              <w:tblStyle w:val="19"/>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61"/>
              <w:gridCol w:w="905"/>
              <w:gridCol w:w="1707"/>
              <w:gridCol w:w="1112"/>
              <w:gridCol w:w="106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02"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序号</w:t>
                  </w:r>
                </w:p>
              </w:tc>
              <w:tc>
                <w:tcPr>
                  <w:tcW w:w="947"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原辅材料名称</w:t>
                  </w:r>
                </w:p>
              </w:tc>
              <w:tc>
                <w:tcPr>
                  <w:tcW w:w="549"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性状</w:t>
                  </w:r>
                </w:p>
              </w:tc>
              <w:tc>
                <w:tcPr>
                  <w:tcW w:w="1036"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最大储存量</w:t>
                  </w:r>
                  <w:r>
                    <w:rPr>
                      <w:rFonts w:hint="eastAsia" w:ascii="Times New Roman" w:hAnsi="Times New Roman" w:cs="Times New Roman"/>
                      <w:color w:val="0000FF"/>
                      <w:sz w:val="21"/>
                      <w:szCs w:val="21"/>
                      <w:highlight w:val="none"/>
                      <w:lang w:val="en-US" w:eastAsia="zh-CN"/>
                    </w:rPr>
                    <w:t>(</w:t>
                  </w:r>
                  <w:r>
                    <w:rPr>
                      <w:rFonts w:hint="default" w:ascii="Times New Roman" w:hAnsi="Times New Roman" w:cs="Times New Roman"/>
                      <w:color w:val="0000FF"/>
                      <w:sz w:val="21"/>
                      <w:szCs w:val="21"/>
                      <w:highlight w:val="none"/>
                      <w:lang w:val="en-US" w:eastAsia="zh-CN"/>
                    </w:rPr>
                    <w:t>t</w:t>
                  </w:r>
                  <w:r>
                    <w:rPr>
                      <w:rFonts w:hint="eastAsia" w:ascii="Times New Roman" w:hAnsi="Times New Roman" w:cs="Times New Roman"/>
                      <w:color w:val="0000FF"/>
                      <w:sz w:val="21"/>
                      <w:szCs w:val="21"/>
                      <w:highlight w:val="none"/>
                      <w:lang w:val="en-US" w:eastAsia="zh-CN"/>
                    </w:rPr>
                    <w:t>)</w:t>
                  </w:r>
                </w:p>
              </w:tc>
              <w:tc>
                <w:tcPr>
                  <w:tcW w:w="675"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包装状态</w:t>
                  </w:r>
                </w:p>
              </w:tc>
              <w:tc>
                <w:tcPr>
                  <w:tcW w:w="643"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规格</w:t>
                  </w:r>
                </w:p>
              </w:tc>
              <w:tc>
                <w:tcPr>
                  <w:tcW w:w="744"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存放位置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02"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1</w:t>
                  </w:r>
                </w:p>
              </w:tc>
              <w:tc>
                <w:tcPr>
                  <w:tcW w:w="947"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PP原料</w:t>
                  </w:r>
                </w:p>
              </w:tc>
              <w:tc>
                <w:tcPr>
                  <w:tcW w:w="549"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固态</w:t>
                  </w:r>
                </w:p>
              </w:tc>
              <w:tc>
                <w:tcPr>
                  <w:tcW w:w="1036"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50</w:t>
                  </w:r>
                </w:p>
              </w:tc>
              <w:tc>
                <w:tcPr>
                  <w:tcW w:w="675"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袋装</w:t>
                  </w:r>
                </w:p>
              </w:tc>
              <w:tc>
                <w:tcPr>
                  <w:tcW w:w="643"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25</w:t>
                  </w:r>
                  <w:r>
                    <w:rPr>
                      <w:rFonts w:hint="default" w:ascii="Times New Roman" w:hAnsi="Times New Roman" w:cs="Times New Roman"/>
                      <w:color w:val="0000FF"/>
                      <w:sz w:val="21"/>
                      <w:szCs w:val="21"/>
                      <w:highlight w:val="none"/>
                      <w:lang w:val="en-US" w:eastAsia="zh-CN"/>
                    </w:rPr>
                    <w:t>kg/</w:t>
                  </w:r>
                  <w:r>
                    <w:rPr>
                      <w:rFonts w:hint="eastAsia" w:ascii="Times New Roman" w:hAnsi="Times New Roman" w:cs="Times New Roman"/>
                      <w:color w:val="0000FF"/>
                      <w:sz w:val="21"/>
                      <w:szCs w:val="21"/>
                      <w:highlight w:val="none"/>
                      <w:lang w:val="en-US" w:eastAsia="zh-CN"/>
                    </w:rPr>
                    <w:t>袋</w:t>
                  </w:r>
                </w:p>
              </w:tc>
              <w:tc>
                <w:tcPr>
                  <w:tcW w:w="744" w:type="pct"/>
                  <w:vMerge w:val="restar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原辅料库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402"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2</w:t>
                  </w:r>
                </w:p>
              </w:tc>
              <w:tc>
                <w:tcPr>
                  <w:tcW w:w="947"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PET原料</w:t>
                  </w:r>
                </w:p>
              </w:tc>
              <w:tc>
                <w:tcPr>
                  <w:tcW w:w="549"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固态</w:t>
                  </w:r>
                </w:p>
              </w:tc>
              <w:tc>
                <w:tcPr>
                  <w:tcW w:w="1036"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50</w:t>
                  </w:r>
                </w:p>
              </w:tc>
              <w:tc>
                <w:tcPr>
                  <w:tcW w:w="675"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袋装</w:t>
                  </w:r>
                </w:p>
              </w:tc>
              <w:tc>
                <w:tcPr>
                  <w:tcW w:w="643"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25</w:t>
                  </w:r>
                  <w:r>
                    <w:rPr>
                      <w:rFonts w:hint="default" w:ascii="Times New Roman" w:hAnsi="Times New Roman" w:cs="Times New Roman"/>
                      <w:color w:val="0000FF"/>
                      <w:sz w:val="21"/>
                      <w:szCs w:val="21"/>
                      <w:highlight w:val="none"/>
                      <w:lang w:val="en-US" w:eastAsia="zh-CN"/>
                    </w:rPr>
                    <w:t>kg/</w:t>
                  </w:r>
                  <w:r>
                    <w:rPr>
                      <w:rFonts w:hint="eastAsia" w:ascii="Times New Roman" w:hAnsi="Times New Roman" w:cs="Times New Roman"/>
                      <w:color w:val="0000FF"/>
                      <w:sz w:val="21"/>
                      <w:szCs w:val="21"/>
                      <w:highlight w:val="none"/>
                      <w:lang w:val="en-US" w:eastAsia="zh-CN"/>
                    </w:rPr>
                    <w:t>袋</w:t>
                  </w:r>
                </w:p>
              </w:tc>
              <w:tc>
                <w:tcPr>
                  <w:tcW w:w="744" w:type="pct"/>
                  <w:vMerge w:val="continue"/>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2"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3</w:t>
                  </w:r>
                </w:p>
              </w:tc>
              <w:tc>
                <w:tcPr>
                  <w:tcW w:w="947"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润滑油</w:t>
                  </w:r>
                </w:p>
              </w:tc>
              <w:tc>
                <w:tcPr>
                  <w:tcW w:w="549"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液态</w:t>
                  </w:r>
                </w:p>
              </w:tc>
              <w:tc>
                <w:tcPr>
                  <w:tcW w:w="1036"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0.</w:t>
                  </w:r>
                  <w:r>
                    <w:rPr>
                      <w:rFonts w:hint="eastAsia" w:ascii="Times New Roman" w:hAnsi="Times New Roman" w:cs="Times New Roman"/>
                      <w:color w:val="0000FF"/>
                      <w:sz w:val="21"/>
                      <w:szCs w:val="21"/>
                      <w:highlight w:val="none"/>
                      <w:lang w:val="en-US" w:eastAsia="zh-CN"/>
                    </w:rPr>
                    <w:t>05</w:t>
                  </w:r>
                </w:p>
              </w:tc>
              <w:tc>
                <w:tcPr>
                  <w:tcW w:w="675"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铁桶</w:t>
                  </w:r>
                </w:p>
              </w:tc>
              <w:tc>
                <w:tcPr>
                  <w:tcW w:w="643"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color w:val="0000FF"/>
                      <w:sz w:val="21"/>
                      <w:szCs w:val="21"/>
                      <w:highlight w:val="none"/>
                      <w:lang w:val="en-US" w:eastAsia="zh-CN"/>
                    </w:rPr>
                    <w:t>50kg/桶</w:t>
                  </w:r>
                </w:p>
              </w:tc>
              <w:tc>
                <w:tcPr>
                  <w:tcW w:w="744" w:type="pct"/>
                  <w:noWrap w:val="0"/>
                  <w:vAlign w:val="center"/>
                </w:tcPr>
                <w:p>
                  <w:pPr>
                    <w:snapToGrid w:val="0"/>
                    <w:spacing w:line="240" w:lineRule="auto"/>
                    <w:jc w:val="both"/>
                    <w:rPr>
                      <w:rFonts w:hint="default" w:ascii="Times New Roman" w:hAnsi="Times New Roman" w:cs="Times New Roman"/>
                      <w:color w:val="0000FF"/>
                      <w:sz w:val="21"/>
                      <w:szCs w:val="21"/>
                      <w:highlight w:val="none"/>
                      <w:lang w:val="en-US" w:eastAsia="zh-CN"/>
                    </w:rPr>
                  </w:pPr>
                  <w:r>
                    <w:rPr>
                      <w:rFonts w:hint="eastAsia" w:ascii="Times New Roman" w:hAnsi="Times New Roman" w:cs="Times New Roman"/>
                      <w:color w:val="0000FF"/>
                      <w:sz w:val="21"/>
                      <w:szCs w:val="21"/>
                      <w:highlight w:val="none"/>
                      <w:lang w:val="en-US" w:eastAsia="zh-CN"/>
                    </w:rPr>
                    <w:t>原辅料库内油品区</w:t>
                  </w:r>
                </w:p>
              </w:tc>
            </w:tr>
          </w:tbl>
          <w:p>
            <w:pPr>
              <w:pStyle w:val="46"/>
              <w:numPr>
                <w:ilvl w:val="0"/>
                <w:numId w:val="0"/>
              </w:numPr>
              <w:bidi w:val="0"/>
              <w:ind w:leftChars="0"/>
              <w:rPr>
                <w:rFonts w:hint="default" w:ascii="Times New Roman" w:hAnsi="Times New Roman" w:cs="Times New Roman"/>
                <w:color w:val="auto"/>
                <w:lang w:val="en-US" w:eastAsia="zh-CN"/>
              </w:rPr>
            </w:pPr>
          </w:p>
          <w:p>
            <w:pPr>
              <w:pStyle w:val="46"/>
              <w:numPr>
                <w:ilvl w:val="0"/>
                <w:numId w:val="0"/>
              </w:numPr>
              <w:bidi w:val="0"/>
              <w:ind w:leftChars="0"/>
              <w:rPr>
                <w:rFonts w:hint="default" w:ascii="Times New Roman" w:hAnsi="Times New Roman" w:cs="Times New Roman"/>
                <w:color w:val="auto"/>
                <w:lang w:val="en-US" w:eastAsia="zh-CN"/>
              </w:rPr>
            </w:pPr>
            <w:r>
              <w:rPr>
                <w:rFonts w:hint="eastAsia" w:cs="Times New Roman"/>
                <w:color w:val="auto"/>
                <w:lang w:val="en-US" w:eastAsia="zh-CN"/>
              </w:rPr>
              <w:t>9.</w:t>
            </w:r>
            <w:r>
              <w:rPr>
                <w:rFonts w:hint="default" w:ascii="Times New Roman" w:hAnsi="Times New Roman" w:cs="Times New Roman"/>
                <w:color w:val="auto"/>
                <w:lang w:val="en-US" w:eastAsia="zh-CN"/>
              </w:rPr>
              <w:t>厂区总平面布置</w:t>
            </w:r>
          </w:p>
          <w:p>
            <w:pPr>
              <w:pStyle w:val="43"/>
              <w:bidi w:val="0"/>
              <w:rPr>
                <w:rFonts w:hint="default" w:ascii="Times New Roman" w:hAnsi="Times New Roman" w:cs="Times New Roman"/>
                <w:color w:val="auto"/>
                <w:lang w:val="en-US" w:eastAsia="zh-CN"/>
              </w:rPr>
            </w:pPr>
            <w:r>
              <w:rPr>
                <w:rFonts w:hint="eastAsia" w:cs="Times New Roman"/>
                <w:color w:val="auto"/>
                <w:lang w:val="en-US" w:eastAsia="zh-CN"/>
              </w:rPr>
              <w:t>（1）建筑布局</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拟建项目厂区呈不规则四边形分布，主要包括生产</w:t>
            </w:r>
            <w:r>
              <w:rPr>
                <w:rFonts w:hint="eastAsia" w:cs="Times New Roman"/>
                <w:color w:val="auto"/>
                <w:lang w:val="en-US" w:eastAsia="zh-CN"/>
              </w:rPr>
              <w:t>区域</w:t>
            </w:r>
            <w:r>
              <w:rPr>
                <w:rFonts w:hint="default" w:ascii="Times New Roman" w:hAnsi="Times New Roman" w:cs="Times New Roman"/>
                <w:color w:val="auto"/>
                <w:lang w:val="en-US" w:eastAsia="zh-CN"/>
              </w:rPr>
              <w:t>、办公区、原辅料库、成品库、食堂、一般固废暂存</w:t>
            </w:r>
            <w:r>
              <w:rPr>
                <w:rFonts w:hint="eastAsia" w:cs="Times New Roman"/>
                <w:color w:val="auto"/>
                <w:lang w:val="en-US" w:eastAsia="zh-CN"/>
              </w:rPr>
              <w:t>区</w:t>
            </w:r>
            <w:r>
              <w:rPr>
                <w:rFonts w:hint="default" w:ascii="Times New Roman" w:hAnsi="Times New Roman" w:cs="Times New Roman"/>
                <w:color w:val="auto"/>
                <w:lang w:val="en-US" w:eastAsia="zh-CN"/>
              </w:rPr>
              <w:t>及危废暂存</w:t>
            </w:r>
            <w:r>
              <w:rPr>
                <w:rFonts w:hint="eastAsia" w:cs="Times New Roman"/>
                <w:color w:val="auto"/>
                <w:lang w:val="en-US" w:eastAsia="zh-CN"/>
              </w:rPr>
              <w:t>区</w:t>
            </w:r>
            <w:r>
              <w:rPr>
                <w:rFonts w:hint="default" w:ascii="Times New Roman" w:hAnsi="Times New Roman" w:cs="Times New Roman"/>
                <w:color w:val="auto"/>
                <w:lang w:val="en-US" w:eastAsia="zh-CN"/>
              </w:rPr>
              <w:t>等。其中生产区主要布置于厂区中间，内设置PP生产线及PET生产线，原辅料库及成品库均布置于生产区侧边，可缩小原料、成品在厂区的搬运距离和次数，有利于生产。办公区及食堂分别位于厂区西侧及东侧，</w:t>
            </w:r>
            <w:r>
              <w:rPr>
                <w:rFonts w:hint="eastAsia" w:cs="Times New Roman"/>
                <w:color w:val="auto"/>
                <w:lang w:val="en-US" w:eastAsia="zh-CN"/>
              </w:rPr>
              <w:t>一般工业固废暂存区</w:t>
            </w:r>
            <w:r>
              <w:rPr>
                <w:rFonts w:hint="default" w:ascii="Times New Roman" w:hAnsi="Times New Roman" w:cs="Times New Roman"/>
                <w:color w:val="auto"/>
                <w:lang w:val="en-US" w:eastAsia="zh-CN"/>
              </w:rPr>
              <w:t>、</w:t>
            </w:r>
            <w:r>
              <w:rPr>
                <w:rFonts w:hint="eastAsia" w:cs="Times New Roman"/>
                <w:color w:val="auto"/>
                <w:lang w:val="en-US" w:eastAsia="zh-CN"/>
              </w:rPr>
              <w:t>危废暂存区</w:t>
            </w:r>
            <w:r>
              <w:rPr>
                <w:rFonts w:hint="default" w:ascii="Times New Roman" w:hAnsi="Times New Roman" w:cs="Times New Roman"/>
                <w:color w:val="auto"/>
                <w:lang w:val="en-US" w:eastAsia="zh-CN"/>
              </w:rPr>
              <w:t>位于厂区</w:t>
            </w:r>
            <w:r>
              <w:rPr>
                <w:rFonts w:hint="eastAsia" w:cs="Times New Roman"/>
                <w:color w:val="auto"/>
                <w:lang w:val="en-US" w:eastAsia="zh-CN"/>
              </w:rPr>
              <w:t>东侧</w:t>
            </w:r>
            <w:r>
              <w:rPr>
                <w:rFonts w:hint="default" w:ascii="Times New Roman" w:hAnsi="Times New Roman" w:cs="Times New Roman"/>
                <w:color w:val="auto"/>
                <w:lang w:val="en-US" w:eastAsia="zh-CN"/>
              </w:rPr>
              <w:t>。</w:t>
            </w:r>
          </w:p>
          <w:p>
            <w:pPr>
              <w:autoSpaceDE w:val="0"/>
              <w:autoSpaceDN w:val="0"/>
              <w:adjustRightInd w:val="0"/>
              <w:spacing w:line="360" w:lineRule="auto"/>
              <w:ind w:firstLine="420" w:firstLineChars="200"/>
              <w:rPr>
                <w:rFonts w:hint="eastAsia" w:cs="Times New Roman"/>
                <w:color w:val="auto"/>
                <w:lang w:val="en-US" w:eastAsia="zh-CN"/>
              </w:rPr>
            </w:pPr>
            <w:r>
              <w:rPr>
                <w:rFonts w:hint="eastAsia" w:cs="Times New Roman"/>
                <w:color w:val="auto"/>
                <w:lang w:val="en-US" w:eastAsia="zh-CN"/>
              </w:rPr>
              <w:t>PP生产线及PET生产线自南向北整体布置生产线，生产设备根据工艺流程先后顺序一次排开。</w:t>
            </w:r>
          </w:p>
          <w:p>
            <w:pPr>
              <w:autoSpaceDE w:val="0"/>
              <w:autoSpaceDN w:val="0"/>
              <w:adjustRightInd w:val="0"/>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cs="Times New Roman"/>
                <w:color w:val="auto"/>
                <w:lang w:val="en-US" w:eastAsia="zh-CN"/>
              </w:rPr>
              <w:t>拟建</w:t>
            </w:r>
            <w:r>
              <w:rPr>
                <w:rFonts w:hint="default" w:ascii="Times New Roman" w:hAnsi="Times New Roman" w:eastAsia="宋体" w:cs="Times New Roman"/>
                <w:color w:val="auto"/>
                <w:sz w:val="21"/>
                <w:szCs w:val="21"/>
                <w:lang w:val="en-US" w:eastAsia="zh-CN"/>
              </w:rPr>
              <w:t>项目平面布置功能分区明确，保证了工艺流程的顺畅紧凑，减少了物料输送流程。</w:t>
            </w:r>
          </w:p>
          <w:p>
            <w:pPr>
              <w:autoSpaceDE w:val="0"/>
              <w:autoSpaceDN w:val="0"/>
              <w:adjustRightInd w:val="0"/>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cs="Times New Roman"/>
                <w:color w:val="auto"/>
                <w:lang w:val="en-US" w:eastAsia="zh-CN"/>
              </w:rPr>
              <w:t>（2）</w:t>
            </w:r>
            <w:r>
              <w:rPr>
                <w:rFonts w:hint="default" w:ascii="Times New Roman" w:hAnsi="Times New Roman" w:eastAsia="宋体" w:cs="Times New Roman"/>
                <w:color w:val="auto"/>
                <w:sz w:val="21"/>
                <w:szCs w:val="21"/>
                <w:lang w:val="en-US" w:eastAsia="zh-CN"/>
              </w:rPr>
              <w:t>道路交通</w:t>
            </w:r>
          </w:p>
          <w:p>
            <w:pPr>
              <w:autoSpaceDE w:val="0"/>
              <w:autoSpaceDN w:val="0"/>
              <w:adjustRightIn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w:t>
            </w:r>
            <w:r>
              <w:rPr>
                <w:rFonts w:hint="eastAsia" w:ascii="Times New Roman" w:hAnsi="Times New Roman" w:cs="Times New Roman"/>
                <w:color w:val="auto"/>
                <w:sz w:val="21"/>
                <w:szCs w:val="21"/>
                <w:lang w:val="en-US" w:eastAsia="zh-CN"/>
              </w:rPr>
              <w:t>四周环绕内部道路，并且直通厂区大门，大门</w:t>
            </w:r>
            <w:r>
              <w:rPr>
                <w:rFonts w:hint="default" w:ascii="Times New Roman" w:hAnsi="Times New Roman" w:eastAsia="宋体" w:cs="Times New Roman"/>
                <w:color w:val="auto"/>
                <w:sz w:val="21"/>
                <w:szCs w:val="21"/>
                <w:lang w:val="en-US" w:eastAsia="zh-CN"/>
              </w:rPr>
              <w:t>出入口紧靠市政道路，便于物料运输和人员走动，</w:t>
            </w:r>
            <w:r>
              <w:rPr>
                <w:rFonts w:hint="default" w:ascii="Times New Roman" w:hAnsi="Times New Roman" w:eastAsia="宋体" w:cs="Times New Roman"/>
                <w:sz w:val="21"/>
                <w:szCs w:val="21"/>
                <w:lang w:val="en-US" w:eastAsia="zh-CN"/>
              </w:rPr>
              <w:t>交通运输畅通。</w:t>
            </w:r>
          </w:p>
          <w:p>
            <w:pPr>
              <w:autoSpaceDE w:val="0"/>
              <w:autoSpaceDN w:val="0"/>
              <w:adjustRightInd w:val="0"/>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（3）环保设施</w:t>
            </w:r>
          </w:p>
          <w:p>
            <w:pPr>
              <w:autoSpaceDE w:val="0"/>
              <w:autoSpaceDN w:val="0"/>
              <w:adjustRightInd w:val="0"/>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废气治理设备及排气筒布置于</w:t>
            </w:r>
            <w:r>
              <w:rPr>
                <w:rFonts w:hint="eastAsia" w:cs="Times New Roman"/>
                <w:color w:val="auto"/>
                <w:sz w:val="21"/>
                <w:szCs w:val="21"/>
                <w:lang w:val="en-US" w:eastAsia="zh-CN"/>
              </w:rPr>
              <w:t>南</w:t>
            </w:r>
            <w:r>
              <w:rPr>
                <w:rFonts w:hint="default" w:ascii="Times New Roman" w:hAnsi="Times New Roman" w:eastAsia="宋体" w:cs="Times New Roman"/>
                <w:color w:val="auto"/>
                <w:sz w:val="21"/>
                <w:szCs w:val="21"/>
                <w:lang w:val="en-US" w:eastAsia="zh-CN"/>
              </w:rPr>
              <w:t>侧，靠近</w:t>
            </w:r>
            <w:r>
              <w:rPr>
                <w:rFonts w:hint="eastAsia" w:ascii="Times New Roman" w:hAnsi="Times New Roman" w:cs="Times New Roman"/>
                <w:color w:val="auto"/>
                <w:sz w:val="21"/>
                <w:szCs w:val="21"/>
                <w:lang w:val="en-US" w:eastAsia="zh-CN"/>
              </w:rPr>
              <w:t>PP生产线及PET生产线</w:t>
            </w:r>
            <w:r>
              <w:rPr>
                <w:rFonts w:hint="default" w:ascii="Times New Roman" w:hAnsi="Times New Roman" w:eastAsia="宋体" w:cs="Times New Roman"/>
                <w:color w:val="auto"/>
                <w:sz w:val="21"/>
                <w:szCs w:val="21"/>
                <w:lang w:val="en-US" w:eastAsia="zh-CN"/>
              </w:rPr>
              <w:t>布置，缩短废气收集距离，提高风机利用率；一般固废暂存区</w:t>
            </w:r>
            <w:r>
              <w:rPr>
                <w:rFonts w:hint="eastAsia" w:ascii="Times New Roman" w:hAnsi="Times New Roman" w:cs="Times New Roman"/>
                <w:color w:val="auto"/>
                <w:sz w:val="21"/>
                <w:szCs w:val="21"/>
                <w:lang w:val="en-US" w:eastAsia="zh-CN"/>
              </w:rPr>
              <w:t>及</w:t>
            </w:r>
            <w:r>
              <w:rPr>
                <w:rFonts w:hint="default" w:ascii="Times New Roman" w:hAnsi="Times New Roman" w:eastAsia="宋体" w:cs="Times New Roman"/>
                <w:color w:val="auto"/>
                <w:sz w:val="21"/>
                <w:szCs w:val="21"/>
                <w:lang w:val="en-US" w:eastAsia="zh-CN"/>
              </w:rPr>
              <w:t>危废暂存</w:t>
            </w:r>
            <w:r>
              <w:rPr>
                <w:rFonts w:hint="eastAsia" w:ascii="Times New Roman" w:hAnsi="Times New Roman" w:cs="Times New Roman"/>
                <w:color w:val="auto"/>
                <w:sz w:val="21"/>
                <w:szCs w:val="21"/>
                <w:lang w:val="en-US" w:eastAsia="zh-CN"/>
              </w:rPr>
              <w:t>区</w:t>
            </w:r>
            <w:r>
              <w:rPr>
                <w:rFonts w:hint="default" w:ascii="Times New Roman" w:hAnsi="Times New Roman" w:eastAsia="宋体" w:cs="Times New Roman"/>
                <w:color w:val="auto"/>
                <w:sz w:val="21"/>
                <w:szCs w:val="21"/>
                <w:lang w:val="en-US" w:eastAsia="zh-CN"/>
              </w:rPr>
              <w:t>布置于</w:t>
            </w:r>
            <w:r>
              <w:rPr>
                <w:rFonts w:hint="eastAsia" w:cs="Times New Roman"/>
                <w:color w:val="auto"/>
                <w:sz w:val="21"/>
                <w:szCs w:val="21"/>
                <w:lang w:val="en-US" w:eastAsia="zh-CN"/>
              </w:rPr>
              <w:t>东侧</w:t>
            </w:r>
            <w:r>
              <w:rPr>
                <w:rFonts w:hint="default" w:ascii="Times New Roman" w:hAnsi="Times New Roman" w:eastAsia="宋体" w:cs="Times New Roman"/>
                <w:color w:val="auto"/>
                <w:sz w:val="21"/>
                <w:szCs w:val="21"/>
                <w:lang w:val="en-US" w:eastAsia="zh-CN"/>
              </w:rPr>
              <w:t>，</w:t>
            </w:r>
            <w:r>
              <w:rPr>
                <w:rFonts w:hint="eastAsia" w:ascii="Times New Roman" w:hAnsi="Times New Roman" w:cs="Times New Roman"/>
                <w:color w:val="auto"/>
                <w:sz w:val="21"/>
                <w:szCs w:val="21"/>
                <w:lang w:val="en-US" w:eastAsia="zh-CN"/>
              </w:rPr>
              <w:t>临近内部道路，</w:t>
            </w:r>
            <w:r>
              <w:rPr>
                <w:rFonts w:hint="default" w:ascii="Times New Roman" w:hAnsi="Times New Roman" w:eastAsia="宋体" w:cs="Times New Roman"/>
                <w:color w:val="auto"/>
                <w:sz w:val="21"/>
                <w:szCs w:val="21"/>
                <w:lang w:val="en-US" w:eastAsia="zh-CN"/>
              </w:rPr>
              <w:t>方便收运单位收运处置；生活垃圾经厂区</w:t>
            </w:r>
            <w:r>
              <w:rPr>
                <w:rFonts w:hint="eastAsia" w:ascii="Times New Roman" w:hAnsi="Times New Roman" w:cs="Times New Roman"/>
                <w:color w:val="auto"/>
                <w:sz w:val="21"/>
                <w:szCs w:val="21"/>
                <w:lang w:val="en-US" w:eastAsia="zh-CN"/>
              </w:rPr>
              <w:t>经零散</w:t>
            </w:r>
            <w:r>
              <w:rPr>
                <w:rFonts w:hint="default" w:ascii="Times New Roman" w:hAnsi="Times New Roman" w:eastAsia="宋体" w:cs="Times New Roman"/>
                <w:sz w:val="21"/>
                <w:szCs w:val="21"/>
                <w:lang w:val="en-US" w:eastAsia="zh-CN"/>
              </w:rPr>
              <w:t>垃圾收集桶，收集袋装后交由市政环卫部门统一处理。</w:t>
            </w:r>
          </w:p>
          <w:p>
            <w:pPr>
              <w:pStyle w:val="43"/>
              <w:bidi w:val="0"/>
              <w:rPr>
                <w:rFonts w:hint="default" w:ascii="Times New Roman" w:hAnsi="Times New Roman" w:cs="Times New Roman"/>
                <w:color w:val="auto"/>
                <w:lang w:val="en-US" w:eastAsia="zh-CN"/>
              </w:rPr>
            </w:pPr>
            <w:r>
              <w:rPr>
                <w:rFonts w:hint="default" w:ascii="Times New Roman" w:hAnsi="Times New Roman" w:eastAsia="宋体" w:cs="Times New Roman"/>
                <w:sz w:val="21"/>
                <w:szCs w:val="21"/>
                <w:lang w:val="en-US" w:eastAsia="zh-CN"/>
              </w:rPr>
              <w:t>综上所述，</w:t>
            </w:r>
            <w:r>
              <w:rPr>
                <w:rFonts w:hint="eastAsia"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项目平面布置合理，具体布置详见附图。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noWrap w:val="0"/>
            <w:vAlign w:val="center"/>
          </w:tcPr>
          <w:p>
            <w:pPr>
              <w:pStyle w:val="16"/>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工艺流程和产排污环节</w:t>
            </w:r>
          </w:p>
        </w:tc>
        <w:tc>
          <w:tcPr>
            <w:tcW w:w="8452" w:type="dxa"/>
            <w:noWrap w:val="0"/>
            <w:vAlign w:val="top"/>
          </w:tcPr>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拟建项目主要产品为PP打包带及PET打包带。根据原辅料不同，PP打包带及PET打包带分别使用对应生产线进行生产，两条生产线工艺流程一致。</w:t>
            </w:r>
          </w:p>
          <w:p>
            <w:pPr>
              <w:pStyle w:val="46"/>
              <w:numPr>
                <w:ilvl w:val="0"/>
                <w:numId w:val="0"/>
              </w:numPr>
              <w:bidi w:val="0"/>
              <w:ind w:left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1.工艺流程</w:t>
            </w:r>
          </w:p>
          <w:p>
            <w:pPr>
              <w:pStyle w:val="43"/>
              <w:bidi w:val="0"/>
              <w:rPr>
                <w:rFonts w:hint="default" w:ascii="Times New Roman" w:hAnsi="Times New Roman" w:cs="Times New Roman"/>
                <w:color w:val="auto"/>
                <w:lang w:val="en-US" w:eastAsia="zh-CN"/>
              </w:rPr>
            </w:pPr>
            <w:r>
              <w:rPr>
                <w:rFonts w:hint="default" w:ascii="Times New Roman" w:hAnsi="Times New Roman" w:eastAsia="宋体" w:cs="Times New Roman"/>
                <w:color w:val="auto"/>
                <w:lang w:eastAsia="zh-CN"/>
              </w:rPr>
              <w:pict>
                <v:shape id="_x0000_s1026" o:spid="_x0000_s1026" o:spt="75" type="#_x0000_t75" style="position:absolute;left:0pt;margin-left:-1.05pt;margin-top:18.05pt;height:145.1pt;width:409.05pt;z-index:251660288;mso-width-relative:page;mso-height-relative:page;" o:ole="t" filled="f" o:preferrelative="t" stroked="f" coordsize="21600,21600">
                  <v:path/>
                  <v:fill on="f" focussize="0,0"/>
                  <v:stroke on="f"/>
                  <v:imagedata r:id="rId13" o:title=""/>
                  <o:lock v:ext="edit" aspectratio="t"/>
                </v:shape>
                <o:OLEObject Type="Embed" ProgID="Visio.Drawing.15" ShapeID="_x0000_s1026" DrawAspect="Content" ObjectID="_1468075726" r:id="rId12">
                  <o:LockedField>false</o:LockedField>
                </o:OLEObject>
              </w:pict>
            </w:r>
            <w:r>
              <w:rPr>
                <w:rFonts w:hint="default" w:ascii="Times New Roman" w:hAnsi="Times New Roman" w:cs="Times New Roman"/>
                <w:color w:val="auto"/>
                <w:lang w:val="en-US" w:eastAsia="zh-CN"/>
              </w:rPr>
              <w:t>拟建项目PP打包带产品工艺流程详见下图2</w:t>
            </w:r>
            <w:r>
              <w:rPr>
                <w:rFonts w:hint="eastAsia" w:cs="Times New Roman"/>
                <w:color w:val="auto"/>
                <w:lang w:val="en-US" w:eastAsia="zh-CN"/>
              </w:rPr>
              <w:t>.2</w:t>
            </w:r>
            <w:r>
              <w:rPr>
                <w:rFonts w:hint="default" w:ascii="Times New Roman" w:hAnsi="Times New Roman" w:cs="Times New Roman"/>
                <w:color w:val="auto"/>
                <w:lang w:val="en-US" w:eastAsia="zh-CN"/>
              </w:rPr>
              <w:t>，PET打包带产品工艺流程详见下图2</w:t>
            </w:r>
            <w:r>
              <w:rPr>
                <w:rFonts w:hint="eastAsia" w:cs="Times New Roman"/>
                <w:color w:val="auto"/>
                <w:lang w:val="en-US" w:eastAsia="zh-CN"/>
              </w:rPr>
              <w:t>.3</w:t>
            </w:r>
            <w:r>
              <w:rPr>
                <w:rFonts w:hint="default" w:ascii="Times New Roman" w:hAnsi="Times New Roman" w:cs="Times New Roman"/>
                <w:color w:val="auto"/>
                <w:lang w:val="en-US" w:eastAsia="zh-CN"/>
              </w:rPr>
              <w:t>。</w:t>
            </w:r>
          </w:p>
          <w:p>
            <w:pPr>
              <w:pStyle w:val="44"/>
              <w:bidi w:val="0"/>
              <w:rPr>
                <w:rFonts w:hint="default" w:ascii="Times New Roman" w:hAnsi="Times New Roman" w:eastAsia="宋体" w:cs="Times New Roman"/>
                <w:color w:val="auto"/>
                <w:lang w:eastAsia="zh-CN"/>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r>
              <w:rPr>
                <w:rFonts w:hint="default" w:ascii="Times New Roman" w:hAnsi="Times New Roman" w:eastAsia="宋体" w:cs="Times New Roman"/>
                <w:color w:val="auto"/>
                <w:lang w:eastAsia="zh-CN"/>
              </w:rPr>
              <w:pict>
                <v:shape id="_x0000_s1028" o:spid="_x0000_s1028" o:spt="75" type="#_x0000_t75" style="position:absolute;left:0pt;margin-left:-3.9pt;margin-top:3.7pt;height:147.85pt;width:409.05pt;z-index:251662336;mso-width-relative:page;mso-height-relative:page;" o:ole="t" filled="f" o:preferrelative="t" stroked="f" coordsize="21600,21600">
                  <v:path/>
                  <v:fill on="f" focussize="0,0"/>
                  <v:stroke on="f"/>
                  <v:imagedata r:id="rId15" o:title=""/>
                  <o:lock v:ext="edit" aspectratio="t"/>
                </v:shape>
                <o:OLEObject Type="Embed" ProgID="Visio.Drawing.15" ShapeID="_x0000_s1028" DrawAspect="Content" ObjectID="_1468075727" r:id="rId14">
                  <o:LockedField>false</o:LockedField>
                </o:OLEObject>
              </w:pict>
            </w: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rPr>
            </w:pPr>
          </w:p>
          <w:p>
            <w:pPr>
              <w:pStyle w:val="43"/>
              <w:bidi w:val="0"/>
              <w:rPr>
                <w:rFonts w:hint="default" w:ascii="Times New Roman" w:hAnsi="Times New Roman" w:cs="Times New Roman"/>
                <w:color w:val="auto"/>
                <w:lang w:val="en-US" w:eastAsia="zh-CN"/>
              </w:rPr>
            </w:pPr>
          </w:p>
          <w:p>
            <w:pPr>
              <w:pStyle w:val="43"/>
              <w:bidi w:val="0"/>
              <w:rPr>
                <w:rFonts w:hint="default" w:ascii="Times New Roman" w:hAnsi="Times New Roman" w:cs="Times New Roman"/>
                <w:color w:val="auto"/>
                <w:lang w:val="en-US" w:eastAsia="zh-CN"/>
              </w:rPr>
            </w:pPr>
          </w:p>
          <w:p>
            <w:pPr>
              <w:pStyle w:val="43"/>
              <w:bidi w:val="0"/>
              <w:rPr>
                <w:rFonts w:hint="default" w:ascii="Times New Roman" w:hAnsi="Times New Roman" w:cs="Times New Roman"/>
                <w:color w:val="auto"/>
                <w:lang w:val="en-US" w:eastAsia="zh-CN"/>
              </w:rPr>
            </w:pPr>
          </w:p>
          <w:p>
            <w:pPr>
              <w:pStyle w:val="43"/>
              <w:bidi w:val="0"/>
              <w:rPr>
                <w:rFonts w:hint="default" w:ascii="Times New Roman" w:hAnsi="Times New Roman" w:cs="Times New Roman"/>
                <w:color w:val="auto"/>
                <w:lang w:val="en-US" w:eastAsia="zh-CN"/>
              </w:rPr>
            </w:pPr>
          </w:p>
          <w:p>
            <w:pPr>
              <w:pStyle w:val="43"/>
              <w:bidi w:val="0"/>
              <w:rPr>
                <w:rFonts w:hint="default" w:ascii="Times New Roman" w:hAnsi="Times New Roman" w:cs="Times New Roman"/>
                <w:color w:val="auto"/>
                <w:lang w:val="en-US" w:eastAsia="zh-CN"/>
              </w:rPr>
            </w:pP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上料：拟建项目PP原料及PET原料由人工放置于料桶内，首先由自动上料机自动上料进入生产工段，自动上料机进气口为透明塑料管，将原料吸入料仓内，料仓下端密闭连接干燥机等，并直接连接至挤出机螺杆处，拟建项目生产原料为PP颗粒及PET颗粒，粒径均为1.5mm~</w:t>
            </w:r>
            <w:r>
              <w:rPr>
                <w:rFonts w:hint="eastAsia" w:cs="Times New Roman"/>
                <w:color w:val="auto"/>
                <w:lang w:val="en-US" w:eastAsia="zh-CN"/>
              </w:rPr>
              <w:t>4</w:t>
            </w:r>
            <w:r>
              <w:rPr>
                <w:rFonts w:hint="default" w:ascii="Times New Roman" w:hAnsi="Times New Roman" w:cs="Times New Roman"/>
                <w:color w:val="auto"/>
                <w:lang w:val="en-US" w:eastAsia="zh-CN"/>
              </w:rPr>
              <w:t>mm</w:t>
            </w:r>
            <w:r>
              <w:rPr>
                <w:rFonts w:hint="eastAsia" w:cs="Times New Roman"/>
                <w:color w:val="auto"/>
                <w:lang w:val="en-US" w:eastAsia="zh-CN"/>
              </w:rPr>
              <w:t>及10mm~15mm</w:t>
            </w:r>
            <w:r>
              <w:rPr>
                <w:rFonts w:hint="default" w:ascii="Times New Roman" w:hAnsi="Times New Roman" w:cs="Times New Roman"/>
                <w:color w:val="auto"/>
                <w:lang w:val="en-US" w:eastAsia="zh-CN"/>
              </w:rPr>
              <w:t xml:space="preserve">，均为外购全新塑料颗粒，无需添加粉料助剂，颗粒外表面不粘附杂质，上料过程无粉尘产生。 </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（2）干燥/烘干、除湿：原料颗粒在正常存储情况下，易产生少量吸水情况，在进入挤出、成型环节前，需分别采用干燥机或者烘干除湿机进行干燥，将原料颗粒内的水分进行去除，干燥/烘干、除湿温度为</w:t>
            </w:r>
            <w:r>
              <w:rPr>
                <w:rFonts w:hint="eastAsia" w:cs="Times New Roman"/>
                <w:color w:val="auto"/>
                <w:lang w:val="en-US" w:eastAsia="zh-CN"/>
              </w:rPr>
              <w:t>140</w:t>
            </w:r>
            <w:r>
              <w:rPr>
                <w:rFonts w:hint="default" w:ascii="Times New Roman" w:hAnsi="Times New Roman" w:cs="Times New Roman"/>
                <w:color w:val="auto"/>
                <w:lang w:val="en-US" w:eastAsia="zh-CN"/>
              </w:rPr>
              <w:t>~1</w:t>
            </w:r>
            <w:r>
              <w:rPr>
                <w:rFonts w:hint="eastAsia" w:cs="Times New Roman"/>
                <w:color w:val="auto"/>
                <w:lang w:val="en-US" w:eastAsia="zh-CN"/>
              </w:rPr>
              <w:t>6</w:t>
            </w:r>
            <w:r>
              <w:rPr>
                <w:rFonts w:hint="default" w:ascii="Times New Roman" w:hAnsi="Times New Roman" w:cs="Times New Roman"/>
                <w:color w:val="auto"/>
                <w:lang w:val="en-US" w:eastAsia="zh-CN"/>
              </w:rPr>
              <w:t>0℃之间，采用电加热。</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（3）挤出、成型：PP颗粒在挤出环节中加热至</w:t>
            </w:r>
            <w:r>
              <w:rPr>
                <w:rFonts w:hint="eastAsia" w:cs="Times New Roman"/>
                <w:color w:val="auto"/>
                <w:lang w:val="en-US" w:eastAsia="zh-CN"/>
              </w:rPr>
              <w:t>200</w:t>
            </w:r>
            <w:r>
              <w:rPr>
                <w:rFonts w:hint="default" w:ascii="Times New Roman" w:hAnsi="Times New Roman" w:cs="Times New Roman"/>
                <w:color w:val="auto"/>
                <w:lang w:val="en-US" w:eastAsia="zh-CN"/>
              </w:rPr>
              <w:t>℃后呈熔融状态，PET颗粒在挤出环节中加热至</w:t>
            </w:r>
            <w:r>
              <w:rPr>
                <w:rFonts w:hint="eastAsia" w:cs="Times New Roman"/>
                <w:color w:val="auto"/>
                <w:lang w:val="en-US" w:eastAsia="zh-CN"/>
              </w:rPr>
              <w:t>240~26</w:t>
            </w:r>
            <w:r>
              <w:rPr>
                <w:rFonts w:hint="default" w:ascii="Times New Roman" w:hAnsi="Times New Roman" w:cs="Times New Roman"/>
                <w:color w:val="auto"/>
                <w:lang w:val="en-US" w:eastAsia="zh-CN"/>
              </w:rPr>
              <w:t xml:space="preserve">0℃后呈熔融状态。原料处于熔融状态下通过外动力马达作用下驱动挤出成初步形状。 </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（4）冷却：挤出后的定型热熔塑料通过冷却水槽进行直接冷却降温处理，便于后方加工。</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（5）预热拉伸：经冷却处理后的带胚通过加温烤箱进行加热到</w:t>
            </w:r>
            <w:r>
              <w:rPr>
                <w:rFonts w:hint="eastAsia" w:cs="Times New Roman"/>
                <w:color w:val="auto"/>
                <w:lang w:val="en-US" w:eastAsia="zh-CN"/>
              </w:rPr>
              <w:t>220</w:t>
            </w:r>
            <w:r>
              <w:rPr>
                <w:rFonts w:hint="default" w:ascii="Times New Roman" w:hAnsi="Times New Roman" w:cs="Times New Roman"/>
                <w:color w:val="auto"/>
                <w:lang w:val="en-US" w:eastAsia="zh-CN"/>
              </w:rPr>
              <w:t>℃，并通过拉伸机将带胚拉伸开</w:t>
            </w:r>
            <w:r>
              <w:rPr>
                <w:rFonts w:hint="eastAsia" w:cs="Times New Roman"/>
                <w:color w:val="auto"/>
                <w:lang w:val="en-US" w:eastAsia="zh-CN"/>
              </w:rPr>
              <w:t>，达到产品要求的宽度及厚度</w:t>
            </w:r>
            <w:r>
              <w:rPr>
                <w:rFonts w:hint="default" w:ascii="Times New Roman" w:hAnsi="Times New Roman" w:cs="Times New Roman"/>
                <w:color w:val="auto"/>
                <w:lang w:val="en-US" w:eastAsia="zh-CN"/>
              </w:rPr>
              <w:t>。烤箱采用电加热。</w:t>
            </w:r>
          </w:p>
          <w:p>
            <w:pPr>
              <w:pStyle w:val="43"/>
              <w:bidi w:val="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（6）压花：打包带经过带花的压辊压花，</w:t>
            </w:r>
            <w:r>
              <w:rPr>
                <w:rFonts w:hint="eastAsia" w:cs="Times New Roman"/>
                <w:color w:val="0000FF"/>
                <w:lang w:val="en-US" w:eastAsia="zh-CN"/>
              </w:rPr>
              <w:t>通过压力形成花纹，花纹</w:t>
            </w:r>
            <w:r>
              <w:rPr>
                <w:rFonts w:hint="default" w:ascii="Times New Roman" w:hAnsi="Times New Roman" w:cs="Times New Roman"/>
                <w:color w:val="0000FF"/>
                <w:lang w:val="en-US" w:eastAsia="zh-CN"/>
              </w:rPr>
              <w:t>作用是在使用过程中增加摩擦，不打滑。</w:t>
            </w:r>
          </w:p>
          <w:p>
            <w:pPr>
              <w:pStyle w:val="43"/>
              <w:bidi w:val="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（7）烤箱</w:t>
            </w:r>
            <w:r>
              <w:rPr>
                <w:rFonts w:hint="eastAsia" w:cs="Times New Roman"/>
                <w:color w:val="0000FF"/>
                <w:lang w:val="en-US" w:eastAsia="zh-CN"/>
              </w:rPr>
              <w:t>成</w:t>
            </w:r>
            <w:r>
              <w:rPr>
                <w:rFonts w:hint="default" w:ascii="Times New Roman" w:hAnsi="Times New Roman" w:cs="Times New Roman"/>
                <w:color w:val="0000FF"/>
                <w:lang w:val="en-US" w:eastAsia="zh-CN"/>
              </w:rPr>
              <w:t>型：压花后的打包带</w:t>
            </w:r>
            <w:r>
              <w:rPr>
                <w:rFonts w:hint="eastAsia" w:cs="Times New Roman"/>
                <w:color w:val="0000FF"/>
                <w:lang w:val="en-US" w:eastAsia="zh-CN"/>
              </w:rPr>
              <w:t>需要</w:t>
            </w:r>
            <w:r>
              <w:rPr>
                <w:rFonts w:hint="default" w:ascii="Times New Roman" w:hAnsi="Times New Roman" w:cs="Times New Roman"/>
                <w:color w:val="0000FF"/>
                <w:lang w:val="en-US" w:eastAsia="zh-CN"/>
              </w:rPr>
              <w:t>通过</w:t>
            </w:r>
            <w:r>
              <w:rPr>
                <w:rFonts w:hint="eastAsia" w:cs="Times New Roman"/>
                <w:color w:val="0000FF"/>
                <w:lang w:val="en-US" w:eastAsia="zh-CN"/>
              </w:rPr>
              <w:t>成型</w:t>
            </w:r>
            <w:r>
              <w:rPr>
                <w:rFonts w:hint="default" w:ascii="Times New Roman" w:hAnsi="Times New Roman" w:cs="Times New Roman"/>
                <w:color w:val="0000FF"/>
                <w:lang w:val="en-US" w:eastAsia="zh-CN"/>
              </w:rPr>
              <w:t>烤箱</w:t>
            </w:r>
            <w:r>
              <w:rPr>
                <w:rFonts w:hint="eastAsia" w:cs="Times New Roman"/>
                <w:color w:val="0000FF"/>
                <w:lang w:val="en-US" w:eastAsia="zh-CN"/>
              </w:rPr>
              <w:t>进行细微纠正，</w:t>
            </w:r>
            <w:r>
              <w:rPr>
                <w:rFonts w:hint="default" w:ascii="Times New Roman" w:hAnsi="Times New Roman" w:cs="Times New Roman"/>
                <w:color w:val="0000FF"/>
                <w:lang w:val="en-US" w:eastAsia="zh-CN"/>
              </w:rPr>
              <w:t>烤箱采用电加热，温度保持在</w:t>
            </w:r>
            <w:r>
              <w:rPr>
                <w:rFonts w:hint="eastAsia" w:cs="Times New Roman"/>
                <w:color w:val="0000FF"/>
                <w:lang w:val="en-US" w:eastAsia="zh-CN"/>
              </w:rPr>
              <w:t>100</w:t>
            </w:r>
            <w:r>
              <w:rPr>
                <w:rFonts w:hint="default" w:ascii="Times New Roman" w:hAnsi="Times New Roman" w:cs="Times New Roman"/>
                <w:color w:val="0000FF"/>
                <w:lang w:val="en-US" w:eastAsia="zh-CN"/>
              </w:rPr>
              <w:t>℃</w:t>
            </w:r>
            <w:r>
              <w:rPr>
                <w:rFonts w:hint="eastAsia" w:cs="Times New Roman"/>
                <w:color w:val="0000FF"/>
                <w:lang w:val="en-US" w:eastAsia="zh-CN"/>
              </w:rPr>
              <w:t>，打包带在通过烤箱过程中进行拉伸，以保证最终产品达到质量标准。</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（8）冷却定型：热</w:t>
            </w:r>
            <w:r>
              <w:rPr>
                <w:rFonts w:hint="eastAsia" w:cs="Times New Roman"/>
                <w:color w:val="auto"/>
                <w:lang w:val="en-US" w:eastAsia="zh-CN"/>
              </w:rPr>
              <w:t>成</w:t>
            </w:r>
            <w:r>
              <w:rPr>
                <w:rFonts w:hint="default" w:ascii="Times New Roman" w:hAnsi="Times New Roman" w:cs="Times New Roman"/>
                <w:color w:val="auto"/>
                <w:lang w:val="en-US" w:eastAsia="zh-CN"/>
              </w:rPr>
              <w:t>型后的打包带通过定型水槽进行冷定型，将打包带进行直接冷却降温处理，确保打包带不变形。</w:t>
            </w:r>
          </w:p>
          <w:p>
            <w:pPr>
              <w:pStyle w:val="43"/>
              <w:bidi w:val="0"/>
              <w:rPr>
                <w:rFonts w:hint="default" w:ascii="Times New Roman" w:hAnsi="Times New Roman" w:cs="Times New Roman"/>
                <w:color w:val="FF0000"/>
                <w:lang w:val="en-US" w:eastAsia="zh-CN"/>
              </w:rPr>
            </w:pPr>
            <w:r>
              <w:rPr>
                <w:rFonts w:hint="default" w:ascii="Times New Roman" w:hAnsi="Times New Roman" w:cs="Times New Roman"/>
                <w:color w:val="auto"/>
                <w:lang w:val="en-US" w:eastAsia="zh-CN"/>
              </w:rPr>
              <w:t>（9）检验：由工作人员对定型后的打包带进行检验，剔除不合格产品后统一收集后返回生产工段。</w:t>
            </w:r>
            <w:r>
              <w:rPr>
                <w:rFonts w:hint="eastAsia" w:cs="Times New Roman"/>
                <w:color w:val="auto"/>
                <w:lang w:val="en-US" w:eastAsia="zh-CN"/>
              </w:rPr>
              <w:t>由于拟建项目对工艺要求较低，不合格产品经人工自行使用剪刀剪碎后，混入原料上料处，重新进入生产线进行回收处置。</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（10）收卷、包装、入库：将合格的产品通过收卷机将打包带进行收卷处理，并进行包装后放置于成品库内，待外售。</w:t>
            </w:r>
          </w:p>
          <w:p>
            <w:pPr>
              <w:pStyle w:val="46"/>
              <w:numPr>
                <w:ilvl w:val="0"/>
                <w:numId w:val="0"/>
              </w:numPr>
              <w:bidi w:val="0"/>
              <w:ind w:left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2.产排污环节</w:t>
            </w:r>
          </w:p>
          <w:p>
            <w:pPr>
              <w:pStyle w:val="43"/>
              <w:bidi w:val="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废气：挤出、成型环节</w:t>
            </w:r>
            <w:r>
              <w:rPr>
                <w:rFonts w:hint="eastAsia" w:cs="Times New Roman"/>
                <w:color w:val="0000FF"/>
                <w:lang w:val="en-US" w:eastAsia="zh-CN"/>
              </w:rPr>
              <w:t>产生</w:t>
            </w:r>
            <w:r>
              <w:rPr>
                <w:rFonts w:hint="default" w:ascii="Times New Roman" w:hAnsi="Times New Roman" w:cs="Times New Roman"/>
                <w:color w:val="0000FF"/>
                <w:lang w:val="en-US" w:eastAsia="zh-CN"/>
              </w:rPr>
              <w:t>挤出废气</w:t>
            </w:r>
            <w:r>
              <w:rPr>
                <w:rFonts w:hint="eastAsia" w:ascii="Times New Roman" w:hAnsi="Times New Roman" w:cs="Times New Roman"/>
                <w:color w:val="0000FF"/>
                <w:lang w:val="en-US" w:eastAsia="zh-CN"/>
              </w:rPr>
              <w:t>G1</w:t>
            </w:r>
            <w:r>
              <w:rPr>
                <w:rFonts w:hint="default" w:ascii="Times New Roman" w:hAnsi="Times New Roman" w:cs="Times New Roman"/>
                <w:color w:val="0000FF"/>
                <w:lang w:val="en-US" w:eastAsia="zh-CN"/>
              </w:rPr>
              <w:t>、预热拉伸</w:t>
            </w:r>
            <w:r>
              <w:rPr>
                <w:rFonts w:hint="eastAsia" w:ascii="Times New Roman" w:hAnsi="Times New Roman" w:cs="Times New Roman"/>
                <w:color w:val="0000FF"/>
                <w:lang w:val="en-US" w:eastAsia="zh-CN"/>
              </w:rPr>
              <w:t>环节</w:t>
            </w:r>
            <w:r>
              <w:rPr>
                <w:rFonts w:hint="eastAsia" w:cs="Times New Roman"/>
                <w:color w:val="0000FF"/>
                <w:lang w:val="en-US" w:eastAsia="zh-CN"/>
              </w:rPr>
              <w:t>产生拉伸废气G2</w:t>
            </w:r>
            <w:r>
              <w:rPr>
                <w:rFonts w:hint="default" w:ascii="Times New Roman" w:hAnsi="Times New Roman" w:cs="Times New Roman"/>
                <w:color w:val="0000FF"/>
                <w:lang w:val="en-US" w:eastAsia="zh-CN"/>
              </w:rPr>
              <w:t>及烤箱定型</w:t>
            </w:r>
            <w:r>
              <w:rPr>
                <w:rFonts w:hint="eastAsia" w:ascii="Times New Roman" w:hAnsi="Times New Roman" w:cs="Times New Roman"/>
                <w:color w:val="0000FF"/>
                <w:lang w:val="en-US" w:eastAsia="zh-CN"/>
              </w:rPr>
              <w:t>环节</w:t>
            </w:r>
            <w:r>
              <w:rPr>
                <w:rFonts w:hint="eastAsia" w:cs="Times New Roman"/>
                <w:color w:val="0000FF"/>
                <w:lang w:val="en-US" w:eastAsia="zh-CN"/>
              </w:rPr>
              <w:t>产生</w:t>
            </w:r>
            <w:r>
              <w:rPr>
                <w:rFonts w:hint="default" w:ascii="Times New Roman" w:hAnsi="Times New Roman" w:cs="Times New Roman"/>
                <w:color w:val="0000FF"/>
                <w:lang w:val="en-US" w:eastAsia="zh-CN"/>
              </w:rPr>
              <w:t>定型废气</w:t>
            </w:r>
            <w:r>
              <w:rPr>
                <w:rFonts w:hint="eastAsia" w:cs="Times New Roman"/>
                <w:color w:val="0000FF"/>
                <w:lang w:val="en-US" w:eastAsia="zh-CN"/>
              </w:rPr>
              <w:t>G3</w:t>
            </w:r>
            <w:r>
              <w:rPr>
                <w:rFonts w:hint="default" w:ascii="Times New Roman" w:hAnsi="Times New Roman" w:cs="Times New Roman"/>
                <w:color w:val="0000FF"/>
                <w:lang w:val="en-US" w:eastAsia="zh-CN"/>
              </w:rPr>
              <w:t>，</w:t>
            </w:r>
            <w:r>
              <w:rPr>
                <w:rFonts w:hint="eastAsia" w:cs="Times New Roman"/>
                <w:color w:val="0000FF"/>
                <w:lang w:val="en-US" w:eastAsia="zh-CN"/>
              </w:rPr>
              <w:t>均</w:t>
            </w:r>
            <w:r>
              <w:rPr>
                <w:rFonts w:hint="default" w:ascii="Times New Roman" w:hAnsi="Times New Roman" w:cs="Times New Roman"/>
                <w:color w:val="0000FF"/>
                <w:lang w:val="en-US" w:eastAsia="zh-CN"/>
              </w:rPr>
              <w:t>为非甲烷总烃</w:t>
            </w:r>
            <w:r>
              <w:rPr>
                <w:rFonts w:hint="eastAsia" w:cs="Times New Roman"/>
                <w:color w:val="0000FF"/>
                <w:lang w:val="en-US" w:eastAsia="zh-CN"/>
              </w:rPr>
              <w:t>。</w:t>
            </w:r>
          </w:p>
          <w:p>
            <w:pPr>
              <w:pStyle w:val="43"/>
              <w:bidi w:val="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废水：冷却、冷却定型环节采用水冷却，</w:t>
            </w:r>
            <w:r>
              <w:rPr>
                <w:rFonts w:hint="eastAsia" w:cs="Times New Roman"/>
                <w:color w:val="0000FF"/>
                <w:lang w:val="en-US" w:eastAsia="zh-CN"/>
              </w:rPr>
              <w:t>由于冷却水不外排也不更换，定期补充新鲜水，因此无</w:t>
            </w:r>
            <w:r>
              <w:rPr>
                <w:rFonts w:hint="default" w:ascii="Times New Roman" w:hAnsi="Times New Roman" w:cs="Times New Roman"/>
                <w:color w:val="0000FF"/>
                <w:lang w:val="en-US" w:eastAsia="zh-CN"/>
              </w:rPr>
              <w:t>冷却废水</w:t>
            </w:r>
            <w:r>
              <w:rPr>
                <w:rFonts w:hint="eastAsia" w:cs="Times New Roman"/>
                <w:color w:val="0000FF"/>
                <w:lang w:val="en-US" w:eastAsia="zh-CN"/>
              </w:rPr>
              <w:t>产生</w:t>
            </w:r>
            <w:r>
              <w:rPr>
                <w:rFonts w:hint="default" w:ascii="Times New Roman" w:hAnsi="Times New Roman" w:cs="Times New Roman"/>
                <w:color w:val="0000FF"/>
                <w:lang w:val="en-US" w:eastAsia="zh-CN"/>
              </w:rPr>
              <w:t>；</w:t>
            </w:r>
            <w:r>
              <w:rPr>
                <w:rFonts w:hint="eastAsia" w:cs="Times New Roman"/>
                <w:color w:val="0000FF"/>
                <w:lang w:val="en-US" w:eastAsia="zh-CN"/>
              </w:rPr>
              <w:t>挤出、成型环节采用冷却水塔冷却，由于采用间接冷却方式，不外排，因此无冷却水塔废水产生；地面定期进行清洁，产生地面清洁废水；生活污水（含食堂废水）。</w:t>
            </w:r>
          </w:p>
          <w:p>
            <w:pPr>
              <w:pStyle w:val="43"/>
              <w:bidi w:val="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噪声：上料、拌料、挤出、拉伸、烤箱、废气处理风机等生产设备运行产生噪声</w:t>
            </w:r>
            <w:r>
              <w:rPr>
                <w:rFonts w:hint="eastAsia" w:cs="Times New Roman"/>
                <w:color w:val="0000FF"/>
                <w:lang w:val="en-US" w:eastAsia="zh-CN"/>
              </w:rPr>
              <w:t>。</w:t>
            </w:r>
            <w:r>
              <w:rPr>
                <w:rFonts w:hint="default" w:ascii="Times New Roman" w:hAnsi="Times New Roman" w:cs="Times New Roman"/>
                <w:color w:val="0000FF"/>
                <w:lang w:val="en-US" w:eastAsia="zh-CN"/>
              </w:rPr>
              <w:t xml:space="preserve"> </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0000FF"/>
                <w:lang w:val="en-US" w:eastAsia="zh-CN"/>
              </w:rPr>
              <w:t>固废：检验环节产生不合格产品，</w:t>
            </w:r>
            <w:r>
              <w:rPr>
                <w:rFonts w:hint="eastAsia" w:cs="Times New Roman"/>
                <w:color w:val="0000FF"/>
                <w:lang w:val="en-US" w:eastAsia="zh-CN"/>
              </w:rPr>
              <w:t>废包装袋、废紫外灯管、废活性炭、</w:t>
            </w:r>
            <w:r>
              <w:rPr>
                <w:rFonts w:hint="default" w:ascii="Times New Roman" w:hAnsi="Times New Roman" w:cs="Times New Roman"/>
                <w:color w:val="0000FF"/>
                <w:lang w:val="en-US" w:eastAsia="zh-CN"/>
              </w:rPr>
              <w:t>人员产生生活垃圾。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noWrap w:val="0"/>
            <w:vAlign w:val="center"/>
          </w:tcPr>
          <w:p>
            <w:pPr>
              <w:pStyle w:val="16"/>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bCs/>
                <w:color w:val="auto"/>
                <w:kern w:val="2"/>
                <w:sz w:val="21"/>
                <w:szCs w:val="21"/>
              </w:rPr>
              <w:t>与项目有关的原有环境污染问题</w:t>
            </w:r>
          </w:p>
        </w:tc>
        <w:tc>
          <w:tcPr>
            <w:tcW w:w="8452" w:type="dxa"/>
            <w:noWrap w:val="0"/>
            <w:vAlign w:val="top"/>
          </w:tcPr>
          <w:p>
            <w:pPr>
              <w:pStyle w:val="43"/>
              <w:bidi w:val="0"/>
              <w:rPr>
                <w:rFonts w:hint="default" w:ascii="Times New Roman" w:hAnsi="Times New Roman" w:cs="Times New Roman"/>
                <w:color w:val="auto"/>
                <w:lang w:val="en-US" w:eastAsia="zh-CN"/>
              </w:rPr>
            </w:pPr>
            <w:r>
              <w:rPr>
                <w:rFonts w:hint="eastAsia" w:cs="Times New Roman"/>
                <w:sz w:val="21"/>
                <w:szCs w:val="21"/>
                <w:lang w:val="en-US" w:eastAsia="zh-CN"/>
              </w:rPr>
              <w:t>拟建项目租赁</w:t>
            </w:r>
            <w:r>
              <w:rPr>
                <w:rFonts w:hint="eastAsia" w:ascii="Times New Roman" w:hAnsi="Times New Roman" w:cs="Times New Roman"/>
                <w:sz w:val="21"/>
                <w:szCs w:val="21"/>
                <w:lang w:val="en-US" w:eastAsia="zh-CN"/>
              </w:rPr>
              <w:t>重庆联航工具制造有限公司</w:t>
            </w:r>
            <w:r>
              <w:rPr>
                <w:rFonts w:hint="eastAsia" w:cs="Times New Roman"/>
                <w:sz w:val="21"/>
                <w:szCs w:val="21"/>
                <w:lang w:val="en-US" w:eastAsia="zh-CN"/>
              </w:rPr>
              <w:t>已建厂房进行建设，“联航厂区”</w:t>
            </w:r>
            <w:r>
              <w:rPr>
                <w:rFonts w:hint="default" w:ascii="Times New Roman" w:hAnsi="Times New Roman" w:cs="Times New Roman"/>
                <w:color w:val="auto"/>
                <w:lang w:val="en-US" w:eastAsia="zh-CN"/>
              </w:rPr>
              <w:t>位</w:t>
            </w:r>
            <w:r>
              <w:rPr>
                <w:rFonts w:hint="default" w:cs="Times New Roman"/>
                <w:color w:val="auto"/>
                <w:lang w:val="en-US" w:eastAsia="zh-CN"/>
              </w:rPr>
              <w:t>于重庆市双桥经济技术开发区通桥街道毛店村5组68号</w:t>
            </w:r>
            <w:r>
              <w:rPr>
                <w:rFonts w:hint="eastAsia" w:cs="Times New Roman"/>
                <w:color w:val="auto"/>
                <w:lang w:val="en-US" w:eastAsia="zh-CN"/>
              </w:rPr>
              <w:t>（</w:t>
            </w:r>
            <w:r>
              <w:rPr>
                <w:rFonts w:hint="default" w:cs="Times New Roman"/>
                <w:color w:val="auto"/>
                <w:lang w:val="en-US" w:eastAsia="zh-CN"/>
              </w:rPr>
              <w:t>重庆市大足区双桥工业园区</w:t>
            </w:r>
            <w:r>
              <w:rPr>
                <w:rFonts w:hint="eastAsia" w:cs="Times New Roman"/>
                <w:color w:val="auto"/>
                <w:lang w:val="en-US" w:eastAsia="zh-CN"/>
              </w:rPr>
              <w:t>），</w:t>
            </w:r>
            <w:r>
              <w:rPr>
                <w:rFonts w:hint="default" w:ascii="Times New Roman" w:hAnsi="Times New Roman" w:cs="Times New Roman"/>
                <w:color w:val="auto"/>
                <w:lang w:val="en-US" w:eastAsia="zh-CN"/>
              </w:rPr>
              <w:t>建设用地面积为</w:t>
            </w:r>
            <w:r>
              <w:rPr>
                <w:rFonts w:hint="eastAsia" w:cs="Times New Roman"/>
                <w:color w:val="auto"/>
                <w:lang w:val="en-US" w:eastAsia="zh-CN"/>
              </w:rPr>
              <w:t>8287</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，总建筑面积为</w:t>
            </w:r>
            <w:r>
              <w:rPr>
                <w:rFonts w:hint="eastAsia" w:cs="Times New Roman"/>
                <w:color w:val="auto"/>
                <w:lang w:val="en-US" w:eastAsia="zh-CN"/>
              </w:rPr>
              <w:t>3983</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w:t>
            </w:r>
          </w:p>
          <w:p>
            <w:pPr>
              <w:pStyle w:val="43"/>
              <w:bidi w:val="0"/>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主要建设内容包括</w:t>
            </w:r>
            <w:r>
              <w:rPr>
                <w:rFonts w:hint="eastAsia" w:cs="Times New Roman"/>
                <w:color w:val="0000FF"/>
                <w:lang w:val="en-US" w:eastAsia="zh-CN"/>
              </w:rPr>
              <w:t>4栋</w:t>
            </w:r>
            <w:r>
              <w:rPr>
                <w:rFonts w:hint="default" w:ascii="Times New Roman" w:hAnsi="Times New Roman" w:cs="Times New Roman"/>
                <w:color w:val="0000FF"/>
                <w:lang w:val="en-US" w:eastAsia="zh-CN"/>
              </w:rPr>
              <w:t>厂房</w:t>
            </w:r>
            <w:r>
              <w:rPr>
                <w:rFonts w:hint="eastAsia" w:cs="Times New Roman"/>
                <w:color w:val="0000FF"/>
                <w:lang w:val="en-US" w:eastAsia="zh-CN"/>
              </w:rPr>
              <w:t>，</w:t>
            </w:r>
            <w:r>
              <w:rPr>
                <w:rFonts w:hint="default" w:ascii="Times New Roman" w:hAnsi="Times New Roman" w:cs="Times New Roman"/>
                <w:color w:val="0000FF"/>
                <w:lang w:val="en-US" w:eastAsia="zh-CN"/>
              </w:rPr>
              <w:t>该项目建成后</w:t>
            </w:r>
            <w:r>
              <w:rPr>
                <w:rFonts w:hint="eastAsia" w:cs="Times New Roman"/>
                <w:color w:val="0000FF"/>
                <w:lang w:val="en-US" w:eastAsia="zh-CN"/>
              </w:rPr>
              <w:t>已经引入家具仓储及汽配仓储</w:t>
            </w:r>
            <w:r>
              <w:rPr>
                <w:rFonts w:hint="default" w:ascii="Times New Roman" w:hAnsi="Times New Roman" w:cs="Times New Roman"/>
                <w:color w:val="0000FF"/>
                <w:lang w:val="en-US" w:eastAsia="zh-CN"/>
              </w:rPr>
              <w:t>。</w:t>
            </w:r>
            <w:r>
              <w:rPr>
                <w:rFonts w:hint="eastAsia" w:ascii="Times New Roman" w:hAnsi="Times New Roman" w:cs="Times New Roman"/>
                <w:color w:val="0000FF"/>
                <w:sz w:val="21"/>
                <w:szCs w:val="21"/>
                <w:lang w:val="en-US" w:eastAsia="zh-CN"/>
              </w:rPr>
              <w:t>重庆联航工具制造有限公司</w:t>
            </w:r>
            <w:r>
              <w:rPr>
                <w:rFonts w:hint="eastAsia" w:cs="Times New Roman"/>
                <w:color w:val="0000FF"/>
                <w:sz w:val="21"/>
                <w:szCs w:val="21"/>
                <w:lang w:val="en-US" w:eastAsia="zh-CN"/>
              </w:rPr>
              <w:t>已于2008年获得土地许可手续。</w:t>
            </w:r>
            <w:r>
              <w:rPr>
                <w:rFonts w:hint="eastAsia" w:ascii="Times New Roman" w:hAnsi="Times New Roman" w:cs="Times New Roman"/>
                <w:color w:val="0000FF"/>
                <w:sz w:val="21"/>
                <w:szCs w:val="21"/>
                <w:lang w:val="en-US" w:eastAsia="zh-CN"/>
              </w:rPr>
              <w:t>重庆联航工具制造有限公司标准厂房建设属于环境影响评价豁免项，</w:t>
            </w:r>
            <w:r>
              <w:rPr>
                <w:rFonts w:hint="eastAsia" w:cs="Times New Roman"/>
                <w:color w:val="0000FF"/>
                <w:sz w:val="21"/>
                <w:szCs w:val="21"/>
                <w:lang w:val="en-US" w:eastAsia="zh-CN"/>
              </w:rPr>
              <w:t>目前，“联航厂区”已修建生化池（处理能力5m</w:t>
            </w:r>
            <w:r>
              <w:rPr>
                <w:rFonts w:hint="eastAsia" w:cs="Times New Roman"/>
                <w:color w:val="0000FF"/>
                <w:sz w:val="21"/>
                <w:szCs w:val="21"/>
                <w:vertAlign w:val="superscript"/>
                <w:lang w:val="en-US" w:eastAsia="zh-CN"/>
              </w:rPr>
              <w:t>3</w:t>
            </w:r>
            <w:r>
              <w:rPr>
                <w:rFonts w:hint="eastAsia" w:cs="Times New Roman"/>
                <w:color w:val="0000FF"/>
                <w:sz w:val="21"/>
                <w:szCs w:val="21"/>
                <w:lang w:val="en-US" w:eastAsia="zh-CN"/>
              </w:rPr>
              <w:t>/d），针对入驻项目的生活污水进行收集处置。</w:t>
            </w:r>
          </w:p>
          <w:p>
            <w:pPr>
              <w:pStyle w:val="43"/>
              <w:bidi w:val="0"/>
              <w:rPr>
                <w:rFonts w:hint="default" w:ascii="Times New Roman" w:hAnsi="Times New Roman" w:cs="Times New Roman"/>
                <w:color w:val="auto"/>
                <w:lang w:val="en-US"/>
              </w:rPr>
            </w:pPr>
            <w:r>
              <w:rPr>
                <w:rFonts w:hint="default" w:ascii="Times New Roman" w:hAnsi="Times New Roman" w:cs="Times New Roman"/>
                <w:color w:val="0000FF"/>
                <w:lang w:val="en-US" w:eastAsia="zh-CN"/>
              </w:rPr>
              <w:t>拟建项目在独立</w:t>
            </w:r>
            <w:r>
              <w:rPr>
                <w:rFonts w:hint="eastAsia" w:cs="Times New Roman"/>
                <w:color w:val="0000FF"/>
                <w:lang w:val="en-US" w:eastAsia="zh-CN"/>
              </w:rPr>
              <w:t>厂房</w:t>
            </w:r>
            <w:r>
              <w:rPr>
                <w:rFonts w:hint="default" w:ascii="Times New Roman" w:hAnsi="Times New Roman" w:cs="Times New Roman"/>
                <w:color w:val="0000FF"/>
                <w:lang w:val="en-US" w:eastAsia="zh-CN"/>
              </w:rPr>
              <w:t>进行建设，</w:t>
            </w:r>
            <w:r>
              <w:rPr>
                <w:rFonts w:hint="eastAsia" w:cs="Times New Roman"/>
                <w:color w:val="0000FF"/>
                <w:lang w:val="en-US" w:eastAsia="zh-CN"/>
              </w:rPr>
              <w:t>所用区域</w:t>
            </w:r>
            <w:r>
              <w:rPr>
                <w:rFonts w:hint="default" w:ascii="Times New Roman" w:hAnsi="Times New Roman" w:cs="Times New Roman"/>
                <w:color w:val="0000FF"/>
                <w:lang w:val="en-US" w:eastAsia="zh-CN"/>
              </w:rPr>
              <w:t>之前为闲置地块，属于新建项目，不涉及与拟建项目有关的原有环境污染问题。</w:t>
            </w:r>
            <w:r>
              <w:rPr>
                <w:rFonts w:hint="eastAsia" w:cs="Times New Roman"/>
                <w:color w:val="0000FF"/>
                <w:lang w:val="en-US" w:eastAsia="zh-CN"/>
              </w:rPr>
              <w:t>拟建项目新建隔油池，依托“联航厂区”已建生化池，生化池环保责任主体为</w:t>
            </w:r>
            <w:r>
              <w:rPr>
                <w:rFonts w:hint="eastAsia" w:ascii="Times New Roman" w:hAnsi="Times New Roman" w:cs="Times New Roman"/>
                <w:color w:val="0000FF"/>
                <w:sz w:val="21"/>
                <w:szCs w:val="21"/>
                <w:lang w:val="en-US" w:eastAsia="zh-CN"/>
              </w:rPr>
              <w:t>重庆联航工具制造有限公司。</w:t>
            </w:r>
          </w:p>
        </w:tc>
      </w:tr>
    </w:tbl>
    <w:p>
      <w:pPr>
        <w:pStyle w:val="16"/>
        <w:jc w:val="center"/>
        <w:rPr>
          <w:rFonts w:hint="default" w:ascii="Times New Roman" w:hAnsi="Times New Roman" w:eastAsia="黑体" w:cs="Times New Roman"/>
          <w:snapToGrid w:val="0"/>
          <w:color w:val="auto"/>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6"/>
        <w:adjustRightInd w:val="0"/>
        <w:snapToGrid w:val="0"/>
        <w:spacing w:before="0" w:beforeAutospacing="0" w:after="0" w:afterAutospacing="0" w:line="14" w:lineRule="auto"/>
        <w:jc w:val="center"/>
        <w:outlineLvl w:val="0"/>
        <w:rPr>
          <w:rFonts w:hint="default" w:ascii="Times New Roman" w:hAnsi="Times New Roman" w:eastAsia="黑体" w:cs="Times New Roman"/>
          <w:snapToGrid w:val="0"/>
          <w:color w:val="auto"/>
          <w:sz w:val="30"/>
          <w:szCs w:val="30"/>
        </w:r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三、区域环境质量现状、环境保护目标及评价标准</w:t>
      </w:r>
    </w:p>
    <w:tbl>
      <w:tblPr>
        <w:tblStyle w:val="19"/>
        <w:tblW w:w="91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4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8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区域</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环境</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质量</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现状</w:t>
            </w:r>
          </w:p>
        </w:tc>
        <w:tc>
          <w:tcPr>
            <w:tcW w:w="8449" w:type="dxa"/>
            <w:noWrap w:val="0"/>
            <w:vAlign w:val="center"/>
          </w:tcPr>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1.环境空气质量现状评价</w:t>
            </w:r>
          </w:p>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1.1环境功能区区划及质量标准</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拟建项目建设地点选址于重庆市大足区双桥工业园区，属工业地区。根据《重庆市人民政府关于印发重庆市环境空气质量功能区划分规定的通知》（渝府发〔2016〕19号），项目所在地属于二类功能区，SO</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、NO</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10</w:t>
            </w: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2.5</w:t>
            </w:r>
            <w:r>
              <w:rPr>
                <w:rFonts w:hint="default" w:ascii="Times New Roman" w:hAnsi="Times New Roman" w:cs="Times New Roman"/>
                <w:color w:val="auto"/>
                <w:lang w:val="en-US" w:eastAsia="zh-CN"/>
              </w:rPr>
              <w:t>、CO、O</w:t>
            </w:r>
            <w:r>
              <w:rPr>
                <w:rFonts w:hint="default" w:ascii="Times New Roman" w:hAnsi="Times New Roman" w:cs="Times New Roman"/>
                <w:color w:val="auto"/>
                <w:vertAlign w:val="subscript"/>
                <w:lang w:val="en-US" w:eastAsia="zh-CN"/>
              </w:rPr>
              <w:t>3</w:t>
            </w:r>
            <w:r>
              <w:rPr>
                <w:rFonts w:hint="default" w:ascii="Times New Roman" w:hAnsi="Times New Roman" w:cs="Times New Roman"/>
                <w:color w:val="auto"/>
                <w:lang w:val="en-US" w:eastAsia="zh-CN"/>
              </w:rPr>
              <w:t>均执行《环境空气质量标准》（GB 3095-2012）二级标准。特征因子非甲烷总烃参照执行河北省《环境空气质量 非甲烷总烃限值》（DB 13/1577-2012）。环境空气质量标准限值见表3-1。</w:t>
            </w:r>
          </w:p>
          <w:p>
            <w:pPr>
              <w:pStyle w:val="43"/>
              <w:bidi w:val="0"/>
              <w:ind w:left="0" w:leftChars="0" w:firstLine="0" w:firstLine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表3-1  环境空气质量标准限值</w:t>
            </w:r>
            <w:r>
              <w:rPr>
                <w:rFonts w:hint="eastAsia" w:cs="Times New Roman"/>
                <w:color w:val="auto"/>
                <w:lang w:val="en-US" w:eastAsia="zh-CN"/>
              </w:rPr>
              <w:t>表</w:t>
            </w:r>
          </w:p>
          <w:tbl>
            <w:tblPr>
              <w:tblStyle w:val="19"/>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586"/>
              <w:gridCol w:w="1261"/>
              <w:gridCol w:w="1778"/>
              <w:gridCol w:w="825"/>
              <w:gridCol w:w="892"/>
              <w:gridCol w:w="774"/>
              <w:gridCol w:w="21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35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序号</w:t>
                  </w:r>
                </w:p>
              </w:tc>
              <w:tc>
                <w:tcPr>
                  <w:tcW w:w="1846" w:type="pct"/>
                  <w:gridSpan w:val="2"/>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污染物项目</w:t>
                  </w:r>
                </w:p>
              </w:tc>
              <w:tc>
                <w:tcPr>
                  <w:tcW w:w="1043" w:type="pct"/>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标准限值</w:t>
                  </w:r>
                </w:p>
              </w:tc>
              <w:tc>
                <w:tcPr>
                  <w:tcW w:w="470"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单位</w:t>
                  </w:r>
                </w:p>
              </w:tc>
              <w:tc>
                <w:tcPr>
                  <w:tcW w:w="1283"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标准限值来源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846" w:type="pct"/>
                  <w:gridSpan w:val="2"/>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一类区</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二类区</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76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SO</w:t>
                  </w:r>
                  <w:r>
                    <w:rPr>
                      <w:rFonts w:hint="default" w:ascii="Times New Roman" w:hAnsi="Times New Roman" w:cs="Times New Roman"/>
                      <w:color w:val="auto"/>
                      <w:sz w:val="21"/>
                      <w:szCs w:val="21"/>
                      <w:vertAlign w:val="subscript"/>
                      <w:lang w:val="en-US" w:eastAsia="zh-CN"/>
                    </w:rPr>
                    <w:t>2</w:t>
                  </w: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150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500</w:t>
                  </w:r>
                </w:p>
              </w:tc>
              <w:tc>
                <w:tcPr>
                  <w:tcW w:w="470"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µg/m</w:t>
                  </w:r>
                  <w:r>
                    <w:rPr>
                      <w:rFonts w:hint="default" w:ascii="Times New Roman" w:hAnsi="Times New Roman" w:cs="Times New Roman"/>
                      <w:color w:val="auto"/>
                      <w:sz w:val="21"/>
                      <w:szCs w:val="21"/>
                      <w:vertAlign w:val="superscript"/>
                      <w:lang w:val="en-US" w:eastAsia="zh-CN"/>
                    </w:rPr>
                    <w:t>3</w:t>
                  </w:r>
                </w:p>
              </w:tc>
              <w:tc>
                <w:tcPr>
                  <w:tcW w:w="1283"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《环境空气质量标准》</w:t>
                  </w:r>
                </w:p>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（GB 3095-2012）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150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年平均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w:t>
                  </w:r>
                </w:p>
              </w:tc>
              <w:tc>
                <w:tcPr>
                  <w:tcW w:w="76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NO</w:t>
                  </w:r>
                  <w:r>
                    <w:rPr>
                      <w:rFonts w:hint="default" w:ascii="Times New Roman" w:hAnsi="Times New Roman" w:cs="Times New Roman"/>
                      <w:color w:val="auto"/>
                      <w:sz w:val="21"/>
                      <w:szCs w:val="21"/>
                      <w:vertAlign w:val="subscript"/>
                      <w:lang w:val="en-US" w:eastAsia="zh-CN"/>
                    </w:rPr>
                    <w:t>2</w:t>
                  </w: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年平均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w:t>
                  </w:r>
                </w:p>
              </w:tc>
              <w:tc>
                <w:tcPr>
                  <w:tcW w:w="76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PM</w:t>
                  </w:r>
                  <w:r>
                    <w:rPr>
                      <w:rFonts w:hint="default" w:ascii="Times New Roman" w:hAnsi="Times New Roman" w:cs="Times New Roman"/>
                      <w:color w:val="auto"/>
                      <w:sz w:val="21"/>
                      <w:szCs w:val="21"/>
                      <w:vertAlign w:val="subscript"/>
                      <w:lang w:val="en-US" w:eastAsia="zh-CN"/>
                    </w:rPr>
                    <w:t>10</w:t>
                  </w: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150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年平均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w:t>
                  </w:r>
                </w:p>
              </w:tc>
              <w:tc>
                <w:tcPr>
                  <w:tcW w:w="76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PM</w:t>
                  </w:r>
                  <w:r>
                    <w:rPr>
                      <w:rFonts w:hint="default" w:ascii="Times New Roman" w:hAnsi="Times New Roman" w:cs="Times New Roman"/>
                      <w:color w:val="auto"/>
                      <w:sz w:val="21"/>
                      <w:szCs w:val="21"/>
                      <w:vertAlign w:val="subscript"/>
                      <w:lang w:val="en-US" w:eastAsia="zh-CN"/>
                    </w:rPr>
                    <w:t>2.5</w:t>
                  </w: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35</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75</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年平均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15</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35</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w:t>
                  </w:r>
                </w:p>
              </w:tc>
              <w:tc>
                <w:tcPr>
                  <w:tcW w:w="76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CO</w:t>
                  </w: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470"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w:t>
                  </w:r>
                </w:p>
              </w:tc>
              <w:tc>
                <w:tcPr>
                  <w:tcW w:w="766"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O</w:t>
                  </w:r>
                  <w:r>
                    <w:rPr>
                      <w:rFonts w:hint="default" w:ascii="Times New Roman" w:hAnsi="Times New Roman" w:cs="Times New Roman"/>
                      <w:color w:val="auto"/>
                      <w:sz w:val="21"/>
                      <w:szCs w:val="21"/>
                      <w:vertAlign w:val="subscript"/>
                      <w:lang w:val="en-US" w:eastAsia="zh-CN"/>
                    </w:rPr>
                    <w:t>3</w:t>
                  </w: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160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200</w:t>
                  </w:r>
                </w:p>
              </w:tc>
              <w:tc>
                <w:tcPr>
                  <w:tcW w:w="470"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µg/m</w:t>
                  </w:r>
                  <w:r>
                    <w:rPr>
                      <w:rFonts w:hint="default" w:ascii="Times New Roman" w:hAnsi="Times New Roman" w:cs="Times New Roman"/>
                      <w:color w:val="auto"/>
                      <w:sz w:val="21"/>
                      <w:szCs w:val="21"/>
                      <w:vertAlign w:val="superscript"/>
                      <w:lang w:val="en-US" w:eastAsia="zh-CN"/>
                    </w:rPr>
                    <w:t>3</w:t>
                  </w: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日最大8小时平均</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160</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6"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1小时平均</w:t>
                  </w:r>
                </w:p>
              </w:tc>
              <w:tc>
                <w:tcPr>
                  <w:tcW w:w="1043" w:type="pct"/>
                  <w:gridSpan w:val="2"/>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3.6*</w:t>
                  </w:r>
                </w:p>
              </w:tc>
              <w:tc>
                <w:tcPr>
                  <w:tcW w:w="470"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1283"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356"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w:t>
                  </w:r>
                </w:p>
              </w:tc>
              <w:tc>
                <w:tcPr>
                  <w:tcW w:w="766"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非甲烷总烃</w:t>
                  </w:r>
                </w:p>
              </w:tc>
              <w:tc>
                <w:tcPr>
                  <w:tcW w:w="108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小时值</w:t>
                  </w:r>
                </w:p>
              </w:tc>
              <w:tc>
                <w:tcPr>
                  <w:tcW w:w="50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54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c>
                <w:tcPr>
                  <w:tcW w:w="47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128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参照河北省地方标准（DB 13/1577-2012）</w:t>
                  </w:r>
                </w:p>
              </w:tc>
            </w:tr>
          </w:tbl>
          <w:p>
            <w:pPr>
              <w:pStyle w:val="47"/>
              <w:bidi w:val="0"/>
              <w:ind w:left="0" w:leftChars="0"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1.2区域环境空气质量达标判定</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根据《环境影响评价技术导则 大气环境》（HJ 2.2-2018），城市环境空气质量达标情况评价指标为SO</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、NO</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10</w:t>
            </w: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2.5</w:t>
            </w:r>
            <w:r>
              <w:rPr>
                <w:rFonts w:hint="default" w:ascii="Times New Roman" w:hAnsi="Times New Roman" w:cs="Times New Roman"/>
                <w:color w:val="auto"/>
                <w:lang w:val="en-US" w:eastAsia="zh-CN"/>
              </w:rPr>
              <w:t>、CO和O</w:t>
            </w:r>
            <w:r>
              <w:rPr>
                <w:rFonts w:hint="default" w:ascii="Times New Roman" w:hAnsi="Times New Roman" w:cs="Times New Roman"/>
                <w:color w:val="auto"/>
                <w:vertAlign w:val="subscript"/>
                <w:lang w:val="en-US" w:eastAsia="zh-CN"/>
              </w:rPr>
              <w:t>3</w:t>
            </w:r>
            <w:r>
              <w:rPr>
                <w:rFonts w:hint="default" w:ascii="Times New Roman" w:hAnsi="Times New Roman" w:cs="Times New Roman"/>
                <w:color w:val="auto"/>
                <w:lang w:val="en-US" w:eastAsia="zh-CN"/>
              </w:rPr>
              <w:t>。环境空气质量现状数据采用重庆市生态环境局公布的《2020年重庆市生态环境状况公报》表1中大足区数据，空气质量达标区判定情况见表3-2。</w:t>
            </w:r>
          </w:p>
          <w:p>
            <w:pPr>
              <w:pStyle w:val="44"/>
              <w:bidi w:val="0"/>
              <w:rPr>
                <w:rFonts w:hint="default" w:ascii="Times New Roman" w:hAnsi="Times New Roman" w:cs="Times New Roman"/>
                <w:color w:val="auto"/>
                <w:lang w:val="en-US" w:eastAsia="zh-CN"/>
              </w:rPr>
            </w:pPr>
            <w:bookmarkStart w:id="4" w:name="OLE_LINK1"/>
            <w:r>
              <w:rPr>
                <w:rFonts w:hint="default" w:ascii="Times New Roman" w:hAnsi="Times New Roman" w:cs="Times New Roman"/>
                <w:color w:val="auto"/>
                <w:lang w:val="en-US" w:eastAsia="zh-CN"/>
              </w:rPr>
              <w:t>表3-2  大足区空气质量达标现状表</w:t>
            </w:r>
          </w:p>
          <w:bookmarkEnd w:id="4"/>
          <w:tbl>
            <w:tblPr>
              <w:tblStyle w:val="20"/>
              <w:tblW w:w="4998"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2901"/>
              <w:gridCol w:w="1257"/>
              <w:gridCol w:w="1092"/>
              <w:gridCol w:w="1037"/>
              <w:gridCol w:w="7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zh-CN" w:eastAsia="zh-CN"/>
                    </w:rPr>
                    <w:t>污染物</w:t>
                  </w:r>
                </w:p>
              </w:tc>
              <w:tc>
                <w:tcPr>
                  <w:tcW w:w="17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zh-CN" w:eastAsia="zh-CN"/>
                    </w:rPr>
                    <w:t>年评价指标</w:t>
                  </w:r>
                </w:p>
              </w:tc>
              <w:tc>
                <w:tcPr>
                  <w:tcW w:w="7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zh-CN" w:eastAsia="zh-CN"/>
                    </w:rPr>
                    <w:t>现状浓度（</w:t>
                  </w:r>
                  <w:r>
                    <w:rPr>
                      <w:rFonts w:hint="default" w:ascii="Times New Roman" w:hAnsi="Times New Roman" w:cs="Times New Roman"/>
                      <w:color w:val="auto"/>
                      <w:sz w:val="21"/>
                      <w:szCs w:val="21"/>
                      <w:lang w:val="en-US" w:eastAsia="zh-CN"/>
                    </w:rPr>
                    <w:t>µg/m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zh-CN" w:eastAsia="zh-CN"/>
                    </w:rPr>
                    <w:t>）</w:t>
                  </w:r>
                </w:p>
              </w:tc>
              <w:tc>
                <w:tcPr>
                  <w:tcW w:w="6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zh-CN" w:eastAsia="zh-CN"/>
                    </w:rPr>
                    <w:t>标准值（</w:t>
                  </w:r>
                  <w:r>
                    <w:rPr>
                      <w:rFonts w:hint="default" w:ascii="Times New Roman" w:hAnsi="Times New Roman" w:cs="Times New Roman"/>
                      <w:color w:val="auto"/>
                      <w:sz w:val="21"/>
                      <w:szCs w:val="21"/>
                      <w:lang w:val="en-US" w:eastAsia="zh-CN"/>
                    </w:rPr>
                    <w:t>µg/m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zh-CN" w:eastAsia="zh-CN"/>
                    </w:rPr>
                    <w:t>）</w:t>
                  </w:r>
                </w:p>
              </w:tc>
              <w:tc>
                <w:tcPr>
                  <w:tcW w:w="6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zh-CN" w:eastAsia="zh-CN"/>
                    </w:rPr>
                    <w:t>占标率</w:t>
                  </w:r>
                  <w:r>
                    <w:rPr>
                      <w:rFonts w:hint="default" w:ascii="Times New Roman" w:hAnsi="Times New Roman" w:cs="Times New Roman"/>
                      <w:color w:val="auto"/>
                      <w:sz w:val="21"/>
                      <w:szCs w:val="21"/>
                      <w:lang w:val="en-US" w:eastAsia="zh-CN"/>
                    </w:rPr>
                    <w:t>%</w:t>
                  </w:r>
                </w:p>
              </w:tc>
              <w:tc>
                <w:tcPr>
                  <w:tcW w:w="46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PM</w:t>
                  </w:r>
                  <w:r>
                    <w:rPr>
                      <w:rFonts w:hint="default" w:ascii="Times New Roman" w:hAnsi="Times New Roman" w:cs="Times New Roman"/>
                      <w:color w:val="auto"/>
                      <w:sz w:val="21"/>
                      <w:szCs w:val="21"/>
                      <w:vertAlign w:val="subscript"/>
                      <w:lang w:val="en-US" w:eastAsia="zh-CN"/>
                    </w:rPr>
                    <w:t>10</w:t>
                  </w:r>
                </w:p>
              </w:tc>
              <w:tc>
                <w:tcPr>
                  <w:tcW w:w="1762"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年平均质量浓度</w:t>
                  </w:r>
                </w:p>
              </w:tc>
              <w:tc>
                <w:tcPr>
                  <w:tcW w:w="7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43</w:t>
                  </w:r>
                </w:p>
              </w:tc>
              <w:tc>
                <w:tcPr>
                  <w:tcW w:w="6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70</w:t>
                  </w:r>
                </w:p>
              </w:tc>
              <w:tc>
                <w:tcPr>
                  <w:tcW w:w="6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61.43</w:t>
                  </w:r>
                </w:p>
              </w:tc>
              <w:tc>
                <w:tcPr>
                  <w:tcW w:w="46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SO</w:t>
                  </w:r>
                  <w:r>
                    <w:rPr>
                      <w:rFonts w:hint="default" w:ascii="Times New Roman" w:hAnsi="Times New Roman" w:cs="Times New Roman"/>
                      <w:color w:val="auto"/>
                      <w:sz w:val="21"/>
                      <w:szCs w:val="21"/>
                      <w:vertAlign w:val="subscript"/>
                      <w:lang w:val="en-US" w:eastAsia="zh-CN"/>
                    </w:rPr>
                    <w:t>2</w:t>
                  </w:r>
                </w:p>
              </w:tc>
              <w:tc>
                <w:tcPr>
                  <w:tcW w:w="1762"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6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60</w:t>
                  </w:r>
                </w:p>
              </w:tc>
              <w:tc>
                <w:tcPr>
                  <w:tcW w:w="6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16.67</w:t>
                  </w:r>
                </w:p>
              </w:tc>
              <w:tc>
                <w:tcPr>
                  <w:tcW w:w="46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NO</w:t>
                  </w:r>
                  <w:r>
                    <w:rPr>
                      <w:rFonts w:hint="default" w:ascii="Times New Roman" w:hAnsi="Times New Roman" w:cs="Times New Roman"/>
                      <w:color w:val="auto"/>
                      <w:sz w:val="21"/>
                      <w:szCs w:val="21"/>
                      <w:vertAlign w:val="subscript"/>
                      <w:lang w:val="en-US" w:eastAsia="zh-CN"/>
                    </w:rPr>
                    <w:t>2</w:t>
                  </w:r>
                </w:p>
              </w:tc>
              <w:tc>
                <w:tcPr>
                  <w:tcW w:w="1762"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17</w:t>
                  </w:r>
                </w:p>
              </w:tc>
              <w:tc>
                <w:tcPr>
                  <w:tcW w:w="6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w:t>
                  </w:r>
                </w:p>
              </w:tc>
              <w:tc>
                <w:tcPr>
                  <w:tcW w:w="6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42.50</w:t>
                  </w:r>
                </w:p>
              </w:tc>
              <w:tc>
                <w:tcPr>
                  <w:tcW w:w="46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PM</w:t>
                  </w:r>
                  <w:r>
                    <w:rPr>
                      <w:rFonts w:hint="default" w:ascii="Times New Roman" w:hAnsi="Times New Roman" w:cs="Times New Roman"/>
                      <w:color w:val="auto"/>
                      <w:sz w:val="21"/>
                      <w:szCs w:val="21"/>
                      <w:vertAlign w:val="subscript"/>
                      <w:lang w:val="en-US" w:eastAsia="zh-CN"/>
                    </w:rPr>
                    <w:t>2.5</w:t>
                  </w:r>
                </w:p>
              </w:tc>
              <w:tc>
                <w:tcPr>
                  <w:tcW w:w="1762"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7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28</w:t>
                  </w:r>
                </w:p>
              </w:tc>
              <w:tc>
                <w:tcPr>
                  <w:tcW w:w="6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35</w:t>
                  </w:r>
                </w:p>
              </w:tc>
              <w:tc>
                <w:tcPr>
                  <w:tcW w:w="6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80.00</w:t>
                  </w:r>
                </w:p>
              </w:tc>
              <w:tc>
                <w:tcPr>
                  <w:tcW w:w="46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CO</w:t>
                  </w:r>
                  <w:r>
                    <w:rPr>
                      <w:rFonts w:hint="default" w:ascii="Times New Roman" w:hAnsi="Times New Roman" w:cs="Times New Roman"/>
                      <w:color w:val="auto"/>
                      <w:sz w:val="21"/>
                      <w:szCs w:val="21"/>
                      <w:lang w:val="zh-CN" w:eastAsia="zh-CN"/>
                    </w:rPr>
                    <w:t>（</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zh-CN" w:eastAsia="zh-CN"/>
                    </w:rPr>
                    <w:t>）</w:t>
                  </w:r>
                </w:p>
              </w:tc>
              <w:tc>
                <w:tcPr>
                  <w:tcW w:w="17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日均浓度的第95百分位数</w:t>
                  </w:r>
                </w:p>
              </w:tc>
              <w:tc>
                <w:tcPr>
                  <w:tcW w:w="7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1.1</w:t>
                  </w:r>
                </w:p>
              </w:tc>
              <w:tc>
                <w:tcPr>
                  <w:tcW w:w="6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w:t>
                  </w:r>
                </w:p>
              </w:tc>
              <w:tc>
                <w:tcPr>
                  <w:tcW w:w="6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27.50</w:t>
                  </w:r>
                </w:p>
              </w:tc>
              <w:tc>
                <w:tcPr>
                  <w:tcW w:w="46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O3</w:t>
                  </w:r>
                </w:p>
              </w:tc>
              <w:tc>
                <w:tcPr>
                  <w:tcW w:w="17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日最大8h平均浓度的第90百分位数</w:t>
                  </w:r>
                </w:p>
              </w:tc>
              <w:tc>
                <w:tcPr>
                  <w:tcW w:w="7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144</w:t>
                  </w:r>
                </w:p>
              </w:tc>
              <w:tc>
                <w:tcPr>
                  <w:tcW w:w="663"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160</w:t>
                  </w:r>
                </w:p>
              </w:tc>
              <w:tc>
                <w:tcPr>
                  <w:tcW w:w="6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90.00</w:t>
                  </w:r>
                </w:p>
              </w:tc>
              <w:tc>
                <w:tcPr>
                  <w:tcW w:w="46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bl>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由表3-2可知，拟建项目所在区域SO</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、NO</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10</w:t>
            </w:r>
            <w:r>
              <w:rPr>
                <w:rFonts w:hint="default" w:ascii="Times New Roman" w:hAnsi="Times New Roman" w:cs="Times New Roman"/>
                <w:color w:val="auto"/>
                <w:lang w:val="en-US" w:eastAsia="zh-CN"/>
              </w:rPr>
              <w:t>、PM</w:t>
            </w:r>
            <w:r>
              <w:rPr>
                <w:rFonts w:hint="default" w:ascii="Times New Roman" w:hAnsi="Times New Roman" w:cs="Times New Roman"/>
                <w:color w:val="auto"/>
                <w:vertAlign w:val="subscript"/>
                <w:lang w:val="en-US" w:eastAsia="zh-CN"/>
              </w:rPr>
              <w:t>2.5</w:t>
            </w:r>
            <w:r>
              <w:rPr>
                <w:rFonts w:hint="default" w:ascii="Times New Roman" w:hAnsi="Times New Roman" w:cs="Times New Roman"/>
                <w:color w:val="auto"/>
                <w:lang w:val="en-US" w:eastAsia="zh-CN"/>
              </w:rPr>
              <w:t>、CO和O</w:t>
            </w:r>
            <w:r>
              <w:rPr>
                <w:rFonts w:hint="default" w:ascii="Times New Roman" w:hAnsi="Times New Roman" w:cs="Times New Roman"/>
                <w:color w:val="auto"/>
                <w:vertAlign w:val="subscript"/>
                <w:lang w:val="en-US" w:eastAsia="zh-CN"/>
              </w:rPr>
              <w:t>3</w:t>
            </w:r>
            <w:r>
              <w:rPr>
                <w:rFonts w:hint="default" w:ascii="Times New Roman" w:hAnsi="Times New Roman" w:cs="Times New Roman"/>
                <w:color w:val="auto"/>
                <w:vertAlign w:val="baseline"/>
                <w:lang w:val="en-US" w:eastAsia="zh-CN"/>
              </w:rPr>
              <w:t>均满足《环境空气质量标准》(GB 3095-2012)二级标准。</w:t>
            </w:r>
            <w:r>
              <w:rPr>
                <w:rFonts w:hint="default" w:ascii="Times New Roman" w:hAnsi="Times New Roman" w:cs="Times New Roman"/>
                <w:color w:val="auto"/>
                <w:lang w:val="en-US" w:eastAsia="zh-CN"/>
              </w:rPr>
              <w:t>根据《2020年重庆市环境质量简报》统计结果，大足区环境空气质量综合指数为3.18，优良天数为342。空气质量状况良好，拟建项目评价范围内空气质量可满足《环境空气质量标准》（GB 3095-2012）及其2018年修改单中二级标准要求，为达标区。</w:t>
            </w:r>
          </w:p>
          <w:p>
            <w:pPr>
              <w:pStyle w:val="47"/>
              <w:bidi w:val="0"/>
              <w:ind w:left="0" w:leftChars="0"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1.3其他污染物质量现状</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大气污染物涉及非甲烷总烃。本次环评引用重庆渝久环保产业有限公司2021年1月12日~18日（连续监测7天）对重庆金普盛电子科技有限公司“3C产品外观辅料生产及服务项目”进行的非甲烷总烃现状监测（渝久（监）</w:t>
            </w:r>
            <w:r>
              <w:rPr>
                <w:rFonts w:hint="eastAsia" w:cs="Times New Roman"/>
                <w:color w:val="auto"/>
                <w:lang w:val="en-US" w:eastAsia="zh-CN"/>
              </w:rPr>
              <w:t>〔</w:t>
            </w:r>
            <w:r>
              <w:rPr>
                <w:rFonts w:hint="default" w:ascii="Times New Roman" w:hAnsi="Times New Roman" w:cs="Times New Roman"/>
                <w:color w:val="auto"/>
                <w:lang w:val="en-US" w:eastAsia="zh-CN"/>
              </w:rPr>
              <w:t>2021</w:t>
            </w:r>
            <w:r>
              <w:rPr>
                <w:rFonts w:hint="eastAsia" w:cs="Times New Roman"/>
                <w:color w:val="auto"/>
                <w:lang w:val="en-US" w:eastAsia="zh-CN"/>
              </w:rPr>
              <w:t>〕</w:t>
            </w:r>
            <w:r>
              <w:rPr>
                <w:rFonts w:hint="default" w:ascii="Times New Roman" w:hAnsi="Times New Roman" w:cs="Times New Roman"/>
                <w:color w:val="auto"/>
                <w:lang w:val="en-US" w:eastAsia="zh-CN"/>
              </w:rPr>
              <w:t>第HP01号）。实测点G1距拟建项目东南侧2km。</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从监测至今，拟建项目所在区域环境未发生较大变化，因此引用上述监测点的监测数据可行。</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①评价方法</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根据《环境影响评价技术导则 大气环境》（HJ2.2-2018），环境空气质量现状评价通过计算取值时间最大浓度值占相应标准浓度限值的百分比和超标率，来分析其达标情况，当取值时间最大浓度值占相应标准浓度限值的百分比大于或等于100%时，表明环境空气质量超标。评价公式如下：</w:t>
            </w:r>
          </w:p>
          <w:p>
            <w:pPr>
              <w:pStyle w:val="43"/>
              <w:bidi w:val="0"/>
              <w:jc w:val="center"/>
              <w:rPr>
                <w:rFonts w:hint="default" w:ascii="Times New Roman" w:hAnsi="Times New Roman" w:cs="Times New Roman"/>
                <w:color w:val="auto"/>
              </w:rPr>
            </w:pPr>
            <w:r>
              <w:rPr>
                <w:rFonts w:hint="default" w:ascii="Times New Roman" w:hAnsi="Times New Roman" w:cs="Times New Roman"/>
                <w:color w:val="auto"/>
              </w:rPr>
              <w:t>P</w:t>
            </w:r>
            <w:r>
              <w:rPr>
                <w:rFonts w:hint="default" w:ascii="Times New Roman" w:hAnsi="Times New Roman" w:cs="Times New Roman"/>
                <w:color w:val="auto"/>
                <w:vertAlign w:val="subscript"/>
              </w:rPr>
              <w:t>i</w:t>
            </w:r>
            <w:r>
              <w:rPr>
                <w:rFonts w:hint="default" w:ascii="Times New Roman" w:hAnsi="Times New Roman" w:cs="Times New Roman"/>
                <w:color w:val="auto"/>
              </w:rPr>
              <w:t>=C</w:t>
            </w:r>
            <w:r>
              <w:rPr>
                <w:rFonts w:hint="default" w:ascii="Times New Roman" w:hAnsi="Times New Roman" w:cs="Times New Roman"/>
                <w:color w:val="auto"/>
                <w:vertAlign w:val="subscript"/>
              </w:rPr>
              <w:t>i</w:t>
            </w:r>
            <w:r>
              <w:rPr>
                <w:rFonts w:hint="default" w:ascii="Times New Roman" w:hAnsi="Times New Roman" w:cs="Times New Roman"/>
                <w:color w:val="auto"/>
              </w:rPr>
              <w:t>/C</w:t>
            </w:r>
            <w:r>
              <w:rPr>
                <w:rFonts w:hint="default" w:ascii="Times New Roman" w:hAnsi="Times New Roman" w:cs="Times New Roman"/>
                <w:color w:val="auto"/>
                <w:vertAlign w:val="subscript"/>
              </w:rPr>
              <w:t>0i</w:t>
            </w:r>
            <w:r>
              <w:rPr>
                <w:rFonts w:hint="default" w:ascii="Times New Roman" w:hAnsi="Times New Roman" w:cs="Times New Roman"/>
                <w:color w:val="auto"/>
              </w:rPr>
              <w:t>×100%</w:t>
            </w:r>
          </w:p>
          <w:p>
            <w:pPr>
              <w:pStyle w:val="43"/>
              <w:bidi w:val="0"/>
              <w:rPr>
                <w:rFonts w:hint="default" w:ascii="Times New Roman" w:hAnsi="Times New Roman" w:cs="Times New Roman"/>
                <w:color w:val="auto"/>
              </w:rPr>
            </w:pPr>
            <w:r>
              <w:rPr>
                <w:rFonts w:hint="default" w:ascii="Times New Roman" w:hAnsi="Times New Roman" w:cs="Times New Roman"/>
                <w:color w:val="auto"/>
              </w:rPr>
              <w:t>式中：P</w:t>
            </w:r>
            <w:r>
              <w:rPr>
                <w:rFonts w:hint="default" w:ascii="Times New Roman" w:hAnsi="Times New Roman" w:cs="Times New Roman"/>
                <w:color w:val="auto"/>
                <w:vertAlign w:val="subscript"/>
              </w:rPr>
              <w:t>i</w:t>
            </w:r>
            <w:r>
              <w:rPr>
                <w:rFonts w:hint="default" w:ascii="Times New Roman" w:hAnsi="Times New Roman" w:cs="Times New Roman"/>
                <w:strike/>
                <w:dstrike w:val="0"/>
                <w:color w:val="auto"/>
                <w:vertAlign w:val="baseline"/>
                <w:lang w:val="en-US" w:eastAsia="zh-CN"/>
              </w:rPr>
              <w:t xml:space="preserve">    </w:t>
            </w:r>
            <w:r>
              <w:rPr>
                <w:rFonts w:hint="default" w:ascii="Times New Roman" w:hAnsi="Times New Roman" w:cs="Times New Roman"/>
                <w:color w:val="auto"/>
              </w:rPr>
              <w:t>第i个污染物的地面浓度占标率，%；</w:t>
            </w:r>
          </w:p>
          <w:p>
            <w:pPr>
              <w:pStyle w:val="43"/>
              <w:bidi w:val="0"/>
              <w:ind w:firstLine="1050" w:firstLineChars="500"/>
              <w:rPr>
                <w:rFonts w:hint="default" w:ascii="Times New Roman" w:hAnsi="Times New Roman" w:cs="Times New Roman"/>
                <w:color w:val="auto"/>
              </w:rPr>
            </w:pPr>
            <w:r>
              <w:rPr>
                <w:rFonts w:hint="default" w:ascii="Times New Roman" w:hAnsi="Times New Roman" w:cs="Times New Roman"/>
                <w:color w:val="auto"/>
              </w:rPr>
              <w:t>C</w:t>
            </w:r>
            <w:r>
              <w:rPr>
                <w:rFonts w:hint="default" w:ascii="Times New Roman" w:hAnsi="Times New Roman" w:cs="Times New Roman"/>
                <w:color w:val="auto"/>
                <w:vertAlign w:val="subscript"/>
              </w:rPr>
              <w:t>i</w:t>
            </w:r>
            <w:r>
              <w:rPr>
                <w:rFonts w:hint="default" w:ascii="Times New Roman" w:hAnsi="Times New Roman" w:cs="Times New Roman"/>
                <w:strike/>
                <w:dstrike w:val="0"/>
                <w:color w:val="auto"/>
                <w:vertAlign w:val="baseline"/>
                <w:lang w:val="en-US" w:eastAsia="zh-CN"/>
              </w:rPr>
              <w:t xml:space="preserve">    </w:t>
            </w:r>
            <w:r>
              <w:rPr>
                <w:rFonts w:hint="default" w:ascii="Times New Roman" w:hAnsi="Times New Roman" w:cs="Times New Roman"/>
                <w:color w:val="auto"/>
              </w:rPr>
              <w:t>第i个污染物的实测浓度（mg/m</w:t>
            </w:r>
            <w:r>
              <w:rPr>
                <w:rFonts w:hint="default" w:ascii="Times New Roman" w:hAnsi="Times New Roman" w:cs="Times New Roman"/>
                <w:color w:val="auto"/>
                <w:vertAlign w:val="superscript"/>
              </w:rPr>
              <w:t>3</w:t>
            </w:r>
            <w:r>
              <w:rPr>
                <w:rFonts w:hint="default" w:ascii="Times New Roman" w:hAnsi="Times New Roman" w:cs="Times New Roman"/>
                <w:color w:val="auto"/>
              </w:rPr>
              <w:t>）；</w:t>
            </w:r>
          </w:p>
          <w:p>
            <w:pPr>
              <w:pStyle w:val="43"/>
              <w:bidi w:val="0"/>
              <w:ind w:firstLine="1050" w:firstLineChars="500"/>
              <w:rPr>
                <w:rFonts w:hint="default" w:ascii="Times New Roman" w:hAnsi="Times New Roman" w:cs="Times New Roman"/>
                <w:color w:val="auto"/>
                <w:lang w:val="en-US" w:eastAsia="zh-CN"/>
              </w:rPr>
            </w:pPr>
            <w:r>
              <w:rPr>
                <w:rFonts w:hint="default" w:ascii="Times New Roman" w:hAnsi="Times New Roman" w:cs="Times New Roman"/>
                <w:color w:val="auto"/>
              </w:rPr>
              <w:t>C</w:t>
            </w:r>
            <w:r>
              <w:rPr>
                <w:rFonts w:hint="default" w:ascii="Times New Roman" w:hAnsi="Times New Roman" w:cs="Times New Roman"/>
                <w:color w:val="auto"/>
                <w:vertAlign w:val="subscript"/>
              </w:rPr>
              <w:t>0i</w:t>
            </w:r>
            <w:r>
              <w:rPr>
                <w:rFonts w:hint="default" w:ascii="Times New Roman" w:hAnsi="Times New Roman" w:cs="Times New Roman"/>
                <w:strike/>
                <w:dstrike w:val="0"/>
                <w:color w:val="auto"/>
                <w:vertAlign w:val="baseline"/>
                <w:lang w:val="en-US" w:eastAsia="zh-CN"/>
              </w:rPr>
              <w:t xml:space="preserve">    </w:t>
            </w:r>
            <w:r>
              <w:rPr>
                <w:rFonts w:hint="default" w:ascii="Times New Roman" w:hAnsi="Times New Roman" w:cs="Times New Roman"/>
                <w:color w:val="auto"/>
              </w:rPr>
              <w:t>第i个污染物的环境空气质量标准（mg/m</w:t>
            </w:r>
            <w:r>
              <w:rPr>
                <w:rFonts w:hint="default" w:ascii="Times New Roman" w:hAnsi="Times New Roman" w:cs="Times New Roman"/>
                <w:color w:val="auto"/>
                <w:vertAlign w:val="superscript"/>
              </w:rPr>
              <w:t>3</w:t>
            </w:r>
            <w:r>
              <w:rPr>
                <w:rFonts w:hint="default" w:ascii="Times New Roman" w:hAnsi="Times New Roman" w:cs="Times New Roman"/>
                <w:color w:val="auto"/>
              </w:rPr>
              <w:t>）。</w:t>
            </w:r>
          </w:p>
          <w:p>
            <w:pPr>
              <w:pStyle w:val="43"/>
              <w:bidi w:val="0"/>
              <w:rPr>
                <w:rFonts w:hint="default" w:ascii="Times New Roman" w:hAnsi="Times New Roman" w:cs="Times New Roman"/>
                <w:color w:val="auto"/>
                <w:lang w:val="en-US" w:eastAsia="zh-CN"/>
              </w:rPr>
            </w:pPr>
            <w:r>
              <w:rPr>
                <w:rFonts w:hint="default" w:ascii="Times New Roman" w:hAnsi="Times New Roman" w:eastAsia="宋体" w:cs="Times New Roman"/>
                <w:color w:val="auto"/>
                <w:lang w:val="en-US" w:eastAsia="zh-CN"/>
              </w:rPr>
              <w:t>②</w:t>
            </w:r>
            <w:r>
              <w:rPr>
                <w:rFonts w:hint="default" w:ascii="Times New Roman" w:hAnsi="Times New Roman" w:cs="Times New Roman"/>
                <w:color w:val="auto"/>
                <w:lang w:val="en-US" w:eastAsia="zh-CN"/>
              </w:rPr>
              <w:t>监测及评价结果</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环境空气现状监测值和评价结果见表3-3。</w:t>
            </w:r>
          </w:p>
          <w:p>
            <w:pPr>
              <w:pStyle w:val="44"/>
              <w:bidi w:val="0"/>
              <w:rPr>
                <w:rFonts w:hint="default" w:ascii="Times New Roman" w:hAnsi="Times New Roman" w:cs="Times New Roman"/>
                <w:color w:val="auto"/>
                <w:lang w:val="en-US" w:eastAsia="zh-CN"/>
              </w:rPr>
            </w:pPr>
            <w:bookmarkStart w:id="5" w:name="OLE_LINK2"/>
          </w:p>
          <w:p>
            <w:pPr>
              <w:pStyle w:val="44"/>
              <w:bidi w:val="0"/>
              <w:rPr>
                <w:rFonts w:hint="default" w:ascii="Times New Roman" w:hAnsi="Times New Roman" w:cs="Times New Roman"/>
                <w:color w:val="auto"/>
                <w:lang w:val="en-US" w:eastAsia="zh-CN"/>
              </w:rPr>
            </w:pPr>
            <w:r>
              <w:rPr>
                <w:rFonts w:hint="eastAsia" w:cs="Times New Roman"/>
                <w:color w:val="auto"/>
                <w:lang w:val="en-US" w:eastAsia="zh-CN"/>
              </w:rPr>
              <w:t>表</w:t>
            </w:r>
            <w:r>
              <w:rPr>
                <w:rFonts w:hint="default" w:ascii="Times New Roman" w:hAnsi="Times New Roman" w:cs="Times New Roman"/>
                <w:color w:val="auto"/>
                <w:lang w:val="en-US" w:eastAsia="zh-CN"/>
              </w:rPr>
              <w:t>3-3  环境空气</w:t>
            </w:r>
            <w:r>
              <w:rPr>
                <w:rFonts w:hint="eastAsia" w:cs="Times New Roman"/>
                <w:color w:val="auto"/>
                <w:lang w:val="en-US" w:eastAsia="zh-CN"/>
              </w:rPr>
              <w:t>现状</w:t>
            </w:r>
            <w:r>
              <w:rPr>
                <w:rFonts w:hint="default" w:ascii="Times New Roman" w:hAnsi="Times New Roman" w:cs="Times New Roman"/>
                <w:color w:val="auto"/>
                <w:lang w:val="en-US" w:eastAsia="zh-CN"/>
              </w:rPr>
              <w:t>监测</w:t>
            </w:r>
            <w:r>
              <w:rPr>
                <w:rFonts w:hint="eastAsia" w:cs="Times New Roman"/>
                <w:color w:val="auto"/>
                <w:lang w:val="en-US" w:eastAsia="zh-CN"/>
              </w:rPr>
              <w:t>值和评价结果表</w:t>
            </w:r>
          </w:p>
          <w:bookmarkEnd w:id="5"/>
          <w:tbl>
            <w:tblPr>
              <w:tblStyle w:val="20"/>
              <w:tblW w:w="5000"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58"/>
              <w:gridCol w:w="2002"/>
              <w:gridCol w:w="1696"/>
              <w:gridCol w:w="1384"/>
              <w:gridCol w:w="10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trPr>
              <w:tc>
                <w:tcPr>
                  <w:tcW w:w="439" w:type="pct"/>
                  <w:vMerge w:val="restar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监测</w:t>
                  </w:r>
                  <w:r>
                    <w:rPr>
                      <w:rFonts w:hint="default" w:ascii="Times New Roman" w:hAnsi="Times New Roman" w:cs="Times New Roman"/>
                      <w:color w:val="auto"/>
                      <w:sz w:val="21"/>
                      <w:szCs w:val="21"/>
                      <w:lang w:val="en-US" w:eastAsia="zh-CN"/>
                    </w:rPr>
                    <w:t>点位</w:t>
                  </w:r>
                </w:p>
              </w:tc>
              <w:tc>
                <w:tcPr>
                  <w:tcW w:w="824" w:type="pct"/>
                  <w:vMerge w:val="restart"/>
                  <w:tcBorders>
                    <w:tl2br w:val="nil"/>
                    <w:tr2bl w:val="nil"/>
                  </w:tcBorders>
                  <w:noWrap w:val="0"/>
                  <w:vAlign w:val="center"/>
                </w:tcPr>
                <w:p>
                  <w:pPr>
                    <w:pStyle w:val="45"/>
                    <w:bidi w:val="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监测项目</w:t>
                  </w:r>
                </w:p>
              </w:tc>
              <w:tc>
                <w:tcPr>
                  <w:tcW w:w="3086" w:type="pct"/>
                  <w:gridSpan w:val="3"/>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时均浓度</w:t>
                  </w:r>
                </w:p>
              </w:tc>
              <w:tc>
                <w:tcPr>
                  <w:tcW w:w="649" w:type="pct"/>
                  <w:vMerge w:val="restar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最大浓度占标率</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824"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p>
              </w:tc>
              <w:tc>
                <w:tcPr>
                  <w:tcW w:w="1215"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浓度范围</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1030"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标准值（mg/m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c>
                <w:tcPr>
                  <w:tcW w:w="840"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超标率</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w:t>
                  </w:r>
                </w:p>
              </w:tc>
              <w:tc>
                <w:tcPr>
                  <w:tcW w:w="649" w:type="pct"/>
                  <w:vMerge w:val="continue"/>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G1</w:t>
                  </w:r>
                </w:p>
              </w:tc>
              <w:tc>
                <w:tcPr>
                  <w:tcW w:w="824"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非甲烷总烃</w:t>
                  </w:r>
                </w:p>
              </w:tc>
              <w:tc>
                <w:tcPr>
                  <w:tcW w:w="1215"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0.83~1.58</w:t>
                  </w:r>
                </w:p>
              </w:tc>
              <w:tc>
                <w:tcPr>
                  <w:tcW w:w="103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c>
                <w:tcPr>
                  <w:tcW w:w="840"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64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79</w:t>
                  </w:r>
                </w:p>
              </w:tc>
            </w:tr>
          </w:tbl>
          <w:p>
            <w:pPr>
              <w:pStyle w:val="4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由上表可知，拟建项目所在区域非甲烷总烃浓度可满足北省地方标准《环境空气质量  非甲烷总烃限值》（DB13 /1577-2012）二级标准限值，为达标区。</w:t>
            </w:r>
          </w:p>
          <w:p>
            <w:pPr>
              <w:pStyle w:val="47"/>
              <w:bidi w:val="0"/>
              <w:ind w:left="0" w:leftChars="0"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2.地表水环境质量现状评价</w:t>
            </w:r>
          </w:p>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2.1环境功能区区划及质量标准</w:t>
            </w:r>
          </w:p>
          <w:p>
            <w:pPr>
              <w:pStyle w:val="4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拟建项目受纳水体为太平河。根据《重庆市双桥经开区人民政府关于印发重庆市双桥经开区地表水域适用功能划分及集中式饮用水源保护区划分规定的通知》（双桥府发〔2006〕52 号）太平河属于IV类水域，应执行《地表水环境质量标准》（GB3838-2002）IV类水域标准。地表水环境质量标准限值见表3-4。</w:t>
            </w:r>
          </w:p>
          <w:p>
            <w:pPr>
              <w:spacing w:line="36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表</w:t>
            </w:r>
            <w:r>
              <w:rPr>
                <w:rFonts w:hint="default" w:ascii="Times New Roman" w:hAnsi="Times New Roman" w:cs="Times New Roman"/>
                <w:color w:val="auto"/>
                <w:sz w:val="21"/>
                <w:szCs w:val="21"/>
                <w:highlight w:val="none"/>
                <w:lang w:val="en-US" w:eastAsia="zh-CN"/>
              </w:rPr>
              <w:t>3-4</w:t>
            </w:r>
            <w:r>
              <w:rPr>
                <w:rFonts w:hint="default" w:ascii="Times New Roman" w:hAnsi="Times New Roman" w:eastAsia="宋体" w:cs="Times New Roman"/>
                <w:color w:val="auto"/>
                <w:sz w:val="21"/>
                <w:szCs w:val="21"/>
                <w:highlight w:val="none"/>
                <w:lang w:val="en-US" w:eastAsia="zh-CN"/>
              </w:rPr>
              <w:t xml:space="preserve">  地表水环境质量标准</w:t>
            </w:r>
            <w:r>
              <w:rPr>
                <w:rFonts w:hint="eastAsia" w:cs="Times New Roman"/>
                <w:color w:val="auto"/>
                <w:lang w:val="en-US" w:eastAsia="zh-CN"/>
              </w:rPr>
              <w:t>表</w:t>
            </w:r>
            <w:r>
              <w:rPr>
                <w:rFonts w:hint="default" w:ascii="Times New Roman" w:hAnsi="Times New Roman" w:eastAsia="宋体" w:cs="Times New Roman"/>
                <w:color w:val="auto"/>
                <w:sz w:val="21"/>
                <w:szCs w:val="21"/>
                <w:highlight w:val="none"/>
                <w:lang w:val="en-US" w:eastAsia="zh-CN"/>
              </w:rPr>
              <w:t xml:space="preserve">   单位：mg/L</w:t>
            </w:r>
          </w:p>
          <w:tbl>
            <w:tblPr>
              <w:tblStyle w:val="19"/>
              <w:tblW w:w="4982"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965"/>
              <w:gridCol w:w="1163"/>
              <w:gridCol w:w="1189"/>
              <w:gridCol w:w="1270"/>
              <w:gridCol w:w="12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38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w:t>
                  </w:r>
                </w:p>
              </w:tc>
              <w:tc>
                <w:tcPr>
                  <w:tcW w:w="1965"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tc>
              <w:tc>
                <w:tcPr>
                  <w:tcW w:w="1163"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COD</w:t>
                  </w:r>
                </w:p>
              </w:tc>
              <w:tc>
                <w:tcPr>
                  <w:tcW w:w="1189"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BOD</w:t>
                  </w:r>
                  <w:r>
                    <w:rPr>
                      <w:rFonts w:hint="default" w:ascii="Times New Roman" w:hAnsi="Times New Roman" w:cs="Times New Roman"/>
                      <w:color w:val="auto"/>
                      <w:sz w:val="21"/>
                      <w:szCs w:val="21"/>
                      <w:vertAlign w:val="subscript"/>
                    </w:rPr>
                    <w:t>5</w:t>
                  </w:r>
                </w:p>
              </w:tc>
              <w:tc>
                <w:tcPr>
                  <w:tcW w:w="1270"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p>
              </w:tc>
              <w:tc>
                <w:tcPr>
                  <w:tcW w:w="1235"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石油类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IV类标准值</w:t>
                  </w:r>
                </w:p>
              </w:tc>
              <w:tc>
                <w:tcPr>
                  <w:tcW w:w="1965"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6~9（无量纲）</w:t>
                  </w:r>
                </w:p>
              </w:tc>
              <w:tc>
                <w:tcPr>
                  <w:tcW w:w="1163"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sym w:font="Symbol" w:char="F0A3"/>
                  </w:r>
                  <w:r>
                    <w:rPr>
                      <w:rFonts w:hint="default" w:ascii="Times New Roman" w:hAnsi="Times New Roman" w:cs="Times New Roman"/>
                      <w:color w:val="auto"/>
                      <w:sz w:val="21"/>
                      <w:szCs w:val="21"/>
                      <w:lang w:val="en-US" w:eastAsia="zh-CN"/>
                    </w:rPr>
                    <w:t>30</w:t>
                  </w:r>
                </w:p>
              </w:tc>
              <w:tc>
                <w:tcPr>
                  <w:tcW w:w="1189"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sym w:font="Symbol" w:char="F0A3"/>
                  </w:r>
                  <w:r>
                    <w:rPr>
                      <w:rFonts w:hint="default" w:ascii="Times New Roman" w:hAnsi="Times New Roman" w:cs="Times New Roman"/>
                      <w:color w:val="auto"/>
                      <w:sz w:val="21"/>
                      <w:szCs w:val="21"/>
                      <w:lang w:val="en-US" w:eastAsia="zh-CN"/>
                    </w:rPr>
                    <w:t>6</w:t>
                  </w:r>
                </w:p>
              </w:tc>
              <w:tc>
                <w:tcPr>
                  <w:tcW w:w="1270" w:type="dxa"/>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sym w:font="Symbol" w:char="F0A3"/>
                  </w:r>
                  <w:r>
                    <w:rPr>
                      <w:rFonts w:hint="default" w:ascii="Times New Roman" w:hAnsi="Times New Roman" w:cs="Times New Roman"/>
                      <w:color w:val="auto"/>
                      <w:sz w:val="21"/>
                      <w:szCs w:val="21"/>
                      <w:lang w:val="en-US" w:eastAsia="zh-CN"/>
                    </w:rPr>
                    <w:t>1.5</w:t>
                  </w:r>
                </w:p>
              </w:tc>
              <w:tc>
                <w:tcPr>
                  <w:tcW w:w="1235" w:type="dxa"/>
                  <w:tcBorders>
                    <w:tl2br w:val="nil"/>
                    <w:tr2bl w:val="nil"/>
                  </w:tcBorders>
                  <w:noWrap w:val="0"/>
                  <w:vAlign w:val="center"/>
                </w:tcPr>
                <w:p>
                  <w:pPr>
                    <w:pStyle w:val="45"/>
                    <w:bidi w:val="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sym w:font="Symbol" w:char="F0A3"/>
                  </w:r>
                  <w:r>
                    <w:rPr>
                      <w:rFonts w:hint="default" w:ascii="Times New Roman" w:hAnsi="Times New Roman" w:cs="Times New Roman"/>
                      <w:color w:val="auto"/>
                      <w:sz w:val="21"/>
                      <w:szCs w:val="21"/>
                    </w:rPr>
                    <w:t>0.5</w:t>
                  </w:r>
                </w:p>
              </w:tc>
            </w:tr>
          </w:tbl>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2.2拟建项目纳污水体水环境质量现状评价</w:t>
            </w:r>
          </w:p>
          <w:p>
            <w:pPr>
              <w:pStyle w:val="4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评价地表水环境质量现状引用双桥经开区生态环境监测站2020年6月15日对太平河漫水桥断面的监测统计数据，引用数据监测至今周边无重大污染源变化，且监测数据在3年的有效期时间内，引用数据有效，具有代表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（1）监测因子：</w:t>
            </w:r>
            <w:r>
              <w:rPr>
                <w:rFonts w:hint="default" w:ascii="Times New Roman" w:hAnsi="Times New Roman" w:cs="Times New Roman"/>
                <w:color w:val="auto"/>
                <w:kern w:val="0"/>
                <w:szCs w:val="21"/>
                <w:lang w:val="en-US" w:eastAsia="zh-CN"/>
              </w:rPr>
              <w:t>pH值、COD、BOD</w:t>
            </w:r>
            <w:r>
              <w:rPr>
                <w:rFonts w:hint="default" w:ascii="Times New Roman" w:hAnsi="Times New Roman" w:cs="Times New Roman"/>
                <w:color w:val="auto"/>
                <w:kern w:val="0"/>
                <w:szCs w:val="21"/>
                <w:vertAlign w:val="subscript"/>
                <w:lang w:val="en-US" w:eastAsia="zh-CN"/>
              </w:rPr>
              <w:t>5</w:t>
            </w:r>
            <w:r>
              <w:rPr>
                <w:rFonts w:hint="default" w:ascii="Times New Roman" w:hAnsi="Times New Roman" w:cs="Times New Roman"/>
                <w:color w:val="auto"/>
                <w:kern w:val="0"/>
                <w:szCs w:val="21"/>
                <w:lang w:val="en-US" w:eastAsia="zh-CN"/>
              </w:rPr>
              <w:t>、</w:t>
            </w:r>
            <w:r>
              <w:rPr>
                <w:rFonts w:hint="default" w:ascii="Times New Roman" w:hAnsi="Times New Roman" w:eastAsia="宋体" w:cs="Times New Roman"/>
                <w:lang w:val="en-US" w:eastAsia="zh-CN"/>
              </w:rPr>
              <w:t>NH</w:t>
            </w:r>
            <w:r>
              <w:rPr>
                <w:rFonts w:hint="default" w:ascii="Times New Roman" w:hAnsi="Times New Roman" w:eastAsia="宋体" w:cs="Times New Roman"/>
                <w:vertAlign w:val="subscript"/>
                <w:lang w:val="en-US" w:eastAsia="zh-CN"/>
              </w:rPr>
              <w:t>3</w:t>
            </w:r>
            <w:r>
              <w:rPr>
                <w:rFonts w:hint="default" w:ascii="Times New Roman" w:hAnsi="Times New Roman" w:eastAsia="宋体" w:cs="Times New Roman"/>
                <w:lang w:val="en-US" w:eastAsia="zh-CN"/>
              </w:rPr>
              <w:t>-N</w:t>
            </w:r>
            <w:r>
              <w:rPr>
                <w:rFonts w:hint="default" w:ascii="Times New Roman" w:hAnsi="Times New Roman" w:cs="Times New Roman"/>
                <w:lang w:val="en-US" w:eastAsia="zh-CN"/>
              </w:rPr>
              <w:t>及石油类</w:t>
            </w:r>
            <w:r>
              <w:rPr>
                <w:rFonts w:hint="default" w:ascii="Times New Roman" w:hAnsi="Times New Roman" w:eastAsia="宋体" w:cs="Times New Roman"/>
                <w:color w:val="auto"/>
                <w:kern w:val="0"/>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（2）监测时间：监测时间为202</w:t>
            </w:r>
            <w:r>
              <w:rPr>
                <w:rFonts w:hint="default" w:ascii="Times New Roman" w:hAnsi="Times New Roman" w:cs="Times New Roman"/>
                <w:color w:val="auto"/>
                <w:kern w:val="0"/>
                <w:szCs w:val="21"/>
                <w:lang w:val="en-US" w:eastAsia="zh-CN"/>
              </w:rPr>
              <w:t>0</w:t>
            </w:r>
            <w:r>
              <w:rPr>
                <w:rFonts w:hint="default" w:ascii="Times New Roman" w:hAnsi="Times New Roman" w:eastAsia="宋体" w:cs="Times New Roman"/>
                <w:color w:val="auto"/>
                <w:kern w:val="0"/>
                <w:szCs w:val="21"/>
                <w:lang w:val="en-US" w:eastAsia="zh-CN"/>
              </w:rPr>
              <w:t>年</w:t>
            </w:r>
            <w:r>
              <w:rPr>
                <w:rFonts w:hint="default" w:ascii="Times New Roman" w:hAnsi="Times New Roman" w:cs="Times New Roman"/>
                <w:color w:val="auto"/>
                <w:kern w:val="0"/>
                <w:szCs w:val="21"/>
                <w:lang w:val="en-US" w:eastAsia="zh-CN"/>
              </w:rPr>
              <w:t>6</w:t>
            </w:r>
            <w:r>
              <w:rPr>
                <w:rFonts w:hint="default" w:ascii="Times New Roman" w:hAnsi="Times New Roman" w:eastAsia="宋体" w:cs="Times New Roman"/>
                <w:color w:val="auto"/>
                <w:kern w:val="0"/>
                <w:szCs w:val="21"/>
                <w:lang w:val="en-US" w:eastAsia="zh-CN"/>
              </w:rPr>
              <w:t>月</w:t>
            </w:r>
            <w:r>
              <w:rPr>
                <w:rFonts w:hint="default" w:ascii="Times New Roman" w:hAnsi="Times New Roman" w:cs="Times New Roman"/>
                <w:color w:val="auto"/>
                <w:kern w:val="0"/>
                <w:szCs w:val="21"/>
                <w:lang w:val="en-US" w:eastAsia="zh-CN"/>
              </w:rPr>
              <w:t>15日</w:t>
            </w:r>
            <w:r>
              <w:rPr>
                <w:rFonts w:hint="default" w:ascii="Times New Roman" w:hAnsi="Times New Roman" w:eastAsia="宋体" w:cs="Times New Roman"/>
                <w:color w:val="auto"/>
                <w:kern w:val="0"/>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（3）评价方法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color w:val="auto"/>
                <w:kern w:val="0"/>
                <w:szCs w:val="21"/>
                <w:lang w:val="en-US" w:eastAsia="zh-CN"/>
              </w:rPr>
              <w:t>采用单因子污染指数法，其计算公式为：</w:t>
            </w:r>
          </w:p>
          <w:p>
            <w:pPr>
              <w:keepNext w:val="0"/>
              <w:keepLines w:val="0"/>
              <w:pageBreakBefore w:val="0"/>
              <w:widowControl w:val="0"/>
              <w:tabs>
                <w:tab w:val="left" w:pos="1118"/>
              </w:tabs>
              <w:kinsoku/>
              <w:wordWrap/>
              <w:overflowPunct/>
              <w:topLinePunct w:val="0"/>
              <w:bidi w:val="0"/>
              <w:snapToGrid/>
              <w:spacing w:line="360" w:lineRule="auto"/>
              <w:ind w:right="0" w:rightChars="0"/>
              <w:contextualSpacing/>
              <w:jc w:val="center"/>
              <w:outlineLvl w:val="9"/>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val="en-US" w:eastAsia="zh-CN"/>
              </w:rPr>
              <w:drawing>
                <wp:inline distT="0" distB="0" distL="114300" distR="114300">
                  <wp:extent cx="808355" cy="233680"/>
                  <wp:effectExtent l="0" t="0" r="0" b="146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6"/>
                          <a:stretch>
                            <a:fillRect/>
                          </a:stretch>
                        </pic:blipFill>
                        <pic:spPr>
                          <a:xfrm>
                            <a:off x="0" y="0"/>
                            <a:ext cx="808355" cy="2336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式中： Sij——污染因子i在第j点的单项标准指数；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 xml:space="preserve">       Cij——污染因子i在第j点的浓度；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lang w:val="en-US" w:eastAsia="zh-CN"/>
              </w:rPr>
            </w:pPr>
            <w:r>
              <w:rPr>
                <w:rFonts w:hint="default" w:ascii="Times New Roman" w:hAnsi="Times New Roman" w:eastAsia="宋体" w:cs="Times New Roman"/>
                <w:color w:val="auto"/>
                <w:kern w:val="0"/>
                <w:szCs w:val="21"/>
                <w:lang w:val="en-US" w:eastAsia="zh-CN"/>
              </w:rPr>
              <w:t xml:space="preserve">       Csi——污染因子i的评价标准。</w:t>
            </w:r>
          </w:p>
          <w:p>
            <w:pPr>
              <w:pStyle w:val="44"/>
              <w:bidi w:val="0"/>
              <w:rPr>
                <w:rFonts w:hint="default" w:ascii="Times New Roman" w:hAnsi="Times New Roman" w:cs="Times New Roman"/>
                <w:color w:val="auto"/>
                <w:lang w:val="en-US" w:eastAsia="zh-CN"/>
              </w:rPr>
            </w:pPr>
          </w:p>
          <w:p>
            <w:pPr>
              <w:pStyle w:val="44"/>
              <w:bidi w:val="0"/>
              <w:rPr>
                <w:rFonts w:hint="default" w:ascii="Times New Roman" w:hAnsi="Times New Roman" w:cs="Times New Roman"/>
                <w:color w:val="auto"/>
                <w:lang w:val="en-US" w:eastAsia="zh-CN"/>
              </w:rPr>
            </w:pPr>
          </w:p>
          <w:p>
            <w:pPr>
              <w:pStyle w:val="44"/>
              <w:bidi w:val="0"/>
              <w:rPr>
                <w:rFonts w:hint="default" w:ascii="Times New Roman" w:hAnsi="Times New Roman" w:cs="Times New Roman"/>
                <w:color w:val="auto"/>
                <w:lang w:val="en-US" w:eastAsia="zh-CN"/>
              </w:rPr>
            </w:pPr>
          </w:p>
          <w:p>
            <w:pPr>
              <w:pStyle w:val="44"/>
              <w:bidi w:val="0"/>
              <w:rPr>
                <w:rFonts w:hint="default" w:ascii="Times New Roman" w:hAnsi="Times New Roman" w:cs="Times New Roman"/>
                <w:color w:val="auto"/>
                <w:lang w:val="en-US" w:eastAsia="zh-CN"/>
              </w:rPr>
            </w:pP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表3-5  地表水环境质量标准</w:t>
            </w:r>
            <w:r>
              <w:rPr>
                <w:rFonts w:hint="eastAsia" w:cs="Times New Roman"/>
                <w:color w:val="auto"/>
                <w:lang w:val="en-US" w:eastAsia="zh-CN"/>
              </w:rPr>
              <w:t>表</w:t>
            </w:r>
            <w:r>
              <w:rPr>
                <w:rFonts w:hint="default" w:ascii="Times New Roman" w:hAnsi="Times New Roman" w:cs="Times New Roman"/>
                <w:color w:val="auto"/>
                <w:lang w:val="en-US" w:eastAsia="zh-CN"/>
              </w:rPr>
              <w:t xml:space="preserve">  单位：mg/L</w:t>
            </w:r>
          </w:p>
          <w:tbl>
            <w:tblPr>
              <w:tblStyle w:val="19"/>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585"/>
              <w:gridCol w:w="2304"/>
              <w:gridCol w:w="1446"/>
              <w:gridCol w:w="163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7"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监测断面</w:t>
                  </w:r>
                </w:p>
              </w:tc>
              <w:tc>
                <w:tcPr>
                  <w:tcW w:w="9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监测指标</w:t>
                  </w:r>
                </w:p>
              </w:tc>
              <w:tc>
                <w:tcPr>
                  <w:tcW w:w="139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浓度值（mg/L）</w:t>
                  </w:r>
                </w:p>
              </w:tc>
              <w:tc>
                <w:tcPr>
                  <w:tcW w:w="87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标准限值</w:t>
                  </w:r>
                </w:p>
              </w:tc>
              <w:tc>
                <w:tcPr>
                  <w:tcW w:w="99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超标倍数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7" w:type="pct"/>
                  <w:vMerge w:val="restar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太平河漫水桥断面</w:t>
                  </w:r>
                </w:p>
              </w:tc>
              <w:tc>
                <w:tcPr>
                  <w:tcW w:w="9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pH值</w:t>
                  </w:r>
                </w:p>
              </w:tc>
              <w:tc>
                <w:tcPr>
                  <w:tcW w:w="139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7.73</w:t>
                  </w:r>
                </w:p>
              </w:tc>
              <w:tc>
                <w:tcPr>
                  <w:tcW w:w="87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6~9（无量纲）</w:t>
                  </w:r>
                </w:p>
              </w:tc>
              <w:tc>
                <w:tcPr>
                  <w:tcW w:w="99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未超标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7"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9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COD</w:t>
                  </w:r>
                </w:p>
              </w:tc>
              <w:tc>
                <w:tcPr>
                  <w:tcW w:w="139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18</w:t>
                  </w:r>
                </w:p>
              </w:tc>
              <w:tc>
                <w:tcPr>
                  <w:tcW w:w="87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sym w:font="Symbol" w:char="F0A3"/>
                  </w:r>
                  <w:r>
                    <w:rPr>
                      <w:rFonts w:hint="default" w:ascii="Times New Roman" w:hAnsi="Times New Roman" w:cs="Times New Roman"/>
                      <w:color w:val="auto"/>
                      <w:sz w:val="21"/>
                      <w:szCs w:val="21"/>
                      <w:lang w:val="en-US" w:eastAsia="zh-CN"/>
                    </w:rPr>
                    <w:t>20</w:t>
                  </w:r>
                </w:p>
              </w:tc>
              <w:tc>
                <w:tcPr>
                  <w:tcW w:w="99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未超标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7"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9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BOD</w:t>
                  </w:r>
                  <w:r>
                    <w:rPr>
                      <w:rFonts w:hint="default" w:ascii="Times New Roman" w:hAnsi="Times New Roman" w:cs="Times New Roman"/>
                      <w:color w:val="auto"/>
                      <w:sz w:val="21"/>
                      <w:szCs w:val="21"/>
                      <w:vertAlign w:val="subscript"/>
                      <w:lang w:val="en-US" w:eastAsia="zh-CN"/>
                    </w:rPr>
                    <w:t>5</w:t>
                  </w:r>
                </w:p>
              </w:tc>
              <w:tc>
                <w:tcPr>
                  <w:tcW w:w="139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5.3</w:t>
                  </w:r>
                </w:p>
              </w:tc>
              <w:tc>
                <w:tcPr>
                  <w:tcW w:w="87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sym w:font="Symbol" w:char="F0A3"/>
                  </w:r>
                  <w:r>
                    <w:rPr>
                      <w:rFonts w:hint="default" w:ascii="Times New Roman" w:hAnsi="Times New Roman" w:cs="Times New Roman"/>
                      <w:color w:val="auto"/>
                      <w:sz w:val="21"/>
                      <w:szCs w:val="21"/>
                      <w:lang w:val="en-US" w:eastAsia="zh-CN"/>
                    </w:rPr>
                    <w:t>4</w:t>
                  </w:r>
                </w:p>
              </w:tc>
              <w:tc>
                <w:tcPr>
                  <w:tcW w:w="99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未超标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7"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9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NH</w:t>
                  </w:r>
                  <w:r>
                    <w:rPr>
                      <w:rFonts w:hint="default" w:ascii="Times New Roman" w:hAnsi="Times New Roman" w:cs="Times New Roman"/>
                      <w:color w:val="auto"/>
                      <w:sz w:val="21"/>
                      <w:szCs w:val="21"/>
                      <w:vertAlign w:val="subscript"/>
                      <w:lang w:val="en-US" w:eastAsia="zh-CN"/>
                    </w:rPr>
                    <w:t>3</w:t>
                  </w:r>
                  <w:r>
                    <w:rPr>
                      <w:rFonts w:hint="default" w:ascii="Times New Roman" w:hAnsi="Times New Roman" w:cs="Times New Roman"/>
                      <w:color w:val="auto"/>
                      <w:sz w:val="21"/>
                      <w:szCs w:val="21"/>
                      <w:lang w:val="en-US" w:eastAsia="zh-CN"/>
                    </w:rPr>
                    <w:t>-N</w:t>
                  </w:r>
                </w:p>
              </w:tc>
              <w:tc>
                <w:tcPr>
                  <w:tcW w:w="139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0.09</w:t>
                  </w:r>
                </w:p>
              </w:tc>
              <w:tc>
                <w:tcPr>
                  <w:tcW w:w="87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sym w:font="Symbol" w:char="F0A3"/>
                  </w:r>
                  <w:r>
                    <w:rPr>
                      <w:rFonts w:hint="default" w:ascii="Times New Roman" w:hAnsi="Times New Roman" w:cs="Times New Roman"/>
                      <w:color w:val="auto"/>
                      <w:sz w:val="21"/>
                      <w:szCs w:val="21"/>
                      <w:lang w:val="en-US" w:eastAsia="zh-CN"/>
                    </w:rPr>
                    <w:t>1.0</w:t>
                  </w:r>
                </w:p>
              </w:tc>
              <w:tc>
                <w:tcPr>
                  <w:tcW w:w="99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未超标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7" w:type="pct"/>
                  <w:vMerge w:val="continue"/>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p>
              </w:tc>
              <w:tc>
                <w:tcPr>
                  <w:tcW w:w="962"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石油类</w:t>
                  </w:r>
                </w:p>
              </w:tc>
              <w:tc>
                <w:tcPr>
                  <w:tcW w:w="1399"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0.01</w:t>
                  </w:r>
                </w:p>
              </w:tc>
              <w:tc>
                <w:tcPr>
                  <w:tcW w:w="878"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sym w:font="Symbol" w:char="F0A3"/>
                  </w:r>
                  <w:r>
                    <w:rPr>
                      <w:rFonts w:hint="default" w:ascii="Times New Roman" w:hAnsi="Times New Roman" w:cs="Times New Roman"/>
                      <w:color w:val="auto"/>
                      <w:sz w:val="21"/>
                      <w:szCs w:val="21"/>
                      <w:lang w:val="en-US" w:eastAsia="zh-CN"/>
                    </w:rPr>
                    <w:t>0.05</w:t>
                  </w:r>
                </w:p>
              </w:tc>
              <w:tc>
                <w:tcPr>
                  <w:tcW w:w="991" w:type="pct"/>
                  <w:tcBorders>
                    <w:tl2br w:val="nil"/>
                    <w:tr2bl w:val="nil"/>
                  </w:tcBorders>
                  <w:noWrap w:val="0"/>
                  <w:vAlign w:val="center"/>
                </w:tcPr>
                <w:p>
                  <w:pPr>
                    <w:pStyle w:val="45"/>
                    <w:bidi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未超标</w:t>
                  </w:r>
                </w:p>
              </w:tc>
            </w:tr>
          </w:tbl>
          <w:p>
            <w:pPr>
              <w:pStyle w:val="43"/>
              <w:rPr>
                <w:rFonts w:hint="default" w:ascii="Times New Roman" w:hAnsi="Times New Roman" w:cs="Times New Roman"/>
                <w:color w:val="auto"/>
                <w:vertAlign w:val="baseline"/>
                <w:lang w:val="en-US" w:eastAsia="zh-CN"/>
              </w:rPr>
            </w:pPr>
            <w:r>
              <w:rPr>
                <w:rFonts w:hint="default" w:ascii="Times New Roman" w:hAnsi="Times New Roman" w:cs="Times New Roman"/>
                <w:color w:val="auto"/>
                <w:lang w:val="en-US" w:eastAsia="zh-CN"/>
              </w:rPr>
              <w:t>综上，拟建项目水质</w:t>
            </w:r>
            <w:r>
              <w:rPr>
                <w:rFonts w:hint="default" w:ascii="Times New Roman" w:hAnsi="Times New Roman" w:eastAsia="宋体" w:cs="Times New Roman"/>
                <w:color w:val="auto"/>
                <w:lang w:val="en-US" w:eastAsia="zh-CN"/>
              </w:rPr>
              <w:t>结果显示满足《地表水环境质量标准》（GB3838-20</w:t>
            </w:r>
            <w:r>
              <w:rPr>
                <w:rFonts w:hint="default" w:ascii="Times New Roman" w:hAnsi="Times New Roman" w:cs="Times New Roman"/>
                <w:color w:val="auto"/>
                <w:lang w:val="en-US" w:eastAsia="zh-CN"/>
              </w:rPr>
              <w:t>02）IV类标准要求。</w:t>
            </w:r>
          </w:p>
          <w:p>
            <w:pPr>
              <w:pStyle w:val="43"/>
              <w:rPr>
                <w:rFonts w:hint="default" w:ascii="Times New Roman" w:hAnsi="Times New Roman" w:cs="Times New Roman"/>
                <w:color w:val="auto"/>
                <w:lang w:val="en-US" w:eastAsia="zh-CN"/>
              </w:rPr>
            </w:pPr>
            <w:r>
              <w:rPr>
                <w:rFonts w:hint="eastAsia" w:ascii="Times New Roman" w:hAnsi="Times New Roman" w:cs="Times New Roman"/>
                <w:color w:val="0000FF"/>
                <w:lang w:val="en-US" w:eastAsia="zh-CN"/>
              </w:rPr>
              <w:t>拟建项目位于大足区</w:t>
            </w:r>
            <w:r>
              <w:rPr>
                <w:rFonts w:hint="default" w:ascii="Times New Roman" w:hAnsi="Times New Roman" w:cs="Times New Roman"/>
                <w:color w:val="0000FF"/>
                <w:lang w:val="en-US" w:eastAsia="zh-CN"/>
              </w:rPr>
              <w:t>双桥工业园区</w:t>
            </w:r>
            <w:r>
              <w:rPr>
                <w:rFonts w:hint="eastAsia" w:ascii="Times New Roman" w:hAnsi="Times New Roman" w:cs="Times New Roman"/>
                <w:color w:val="0000FF"/>
                <w:lang w:val="en-US" w:eastAsia="zh-CN"/>
              </w:rPr>
              <w:t>，</w:t>
            </w:r>
            <w:r>
              <w:rPr>
                <w:rFonts w:hint="default" w:ascii="Times New Roman" w:hAnsi="Times New Roman" w:cs="Times New Roman"/>
                <w:color w:val="0000FF"/>
                <w:lang w:val="en-US" w:eastAsia="zh-CN"/>
              </w:rPr>
              <w:t>厂界外周边50米范围内无环境保护目标</w:t>
            </w:r>
            <w:r>
              <w:rPr>
                <w:rFonts w:hint="eastAsia" w:ascii="Times New Roman" w:hAnsi="Times New Roman" w:cs="Times New Roman"/>
                <w:color w:val="0000FF"/>
                <w:lang w:val="en-US" w:eastAsia="zh-CN"/>
              </w:rPr>
              <w:t>，不涉及电磁辐射，</w:t>
            </w:r>
            <w:r>
              <w:rPr>
                <w:rFonts w:hint="default" w:ascii="Times New Roman" w:hAnsi="Times New Roman" w:cs="Times New Roman"/>
                <w:color w:val="0000FF"/>
                <w:lang w:val="en-US" w:eastAsia="zh-CN"/>
              </w:rPr>
              <w:t>拟建项目</w:t>
            </w:r>
            <w:r>
              <w:rPr>
                <w:rFonts w:hint="eastAsia" w:ascii="Times New Roman" w:hAnsi="Times New Roman" w:cs="Times New Roman"/>
                <w:color w:val="0000FF"/>
                <w:lang w:val="en-US" w:eastAsia="zh-CN"/>
              </w:rPr>
              <w:t>在</w:t>
            </w:r>
            <w:r>
              <w:rPr>
                <w:rFonts w:hint="default" w:ascii="Times New Roman" w:hAnsi="Times New Roman" w:cs="Times New Roman"/>
                <w:color w:val="0000FF"/>
                <w:lang w:val="en-US" w:eastAsia="zh-CN"/>
              </w:rPr>
              <w:t>租赁厂房</w:t>
            </w:r>
            <w:r>
              <w:rPr>
                <w:rFonts w:hint="eastAsia" w:ascii="Times New Roman" w:hAnsi="Times New Roman" w:cs="Times New Roman"/>
                <w:color w:val="0000FF"/>
                <w:lang w:val="en-US" w:eastAsia="zh-CN"/>
              </w:rPr>
              <w:t>进行建设</w:t>
            </w:r>
            <w:r>
              <w:rPr>
                <w:rFonts w:hint="default" w:ascii="Times New Roman" w:hAnsi="Times New Roman" w:cs="Times New Roman"/>
                <w:color w:val="0000FF"/>
                <w:lang w:val="en-US" w:eastAsia="zh-CN"/>
              </w:rPr>
              <w:t>，在本项目进驻前厂房地面均进行了硬化，</w:t>
            </w:r>
            <w:r>
              <w:rPr>
                <w:rFonts w:hint="eastAsia" w:ascii="Times New Roman" w:hAnsi="Times New Roman" w:cs="Times New Roman"/>
                <w:color w:val="0000FF"/>
                <w:lang w:val="en-US" w:eastAsia="zh-CN"/>
              </w:rPr>
              <w:t>且将采取有效的分区防渗措施，</w:t>
            </w:r>
            <w:r>
              <w:rPr>
                <w:rFonts w:hint="default" w:ascii="Times New Roman" w:hAnsi="Times New Roman" w:cs="Times New Roman"/>
                <w:color w:val="0000FF"/>
                <w:lang w:val="en-US" w:eastAsia="zh-CN"/>
              </w:rPr>
              <w:t>在正常工况下，</w:t>
            </w:r>
            <w:r>
              <w:rPr>
                <w:rFonts w:hint="eastAsia" w:ascii="Times New Roman" w:hAnsi="Times New Roman" w:cs="Times New Roman"/>
                <w:color w:val="0000FF"/>
                <w:lang w:val="en-US" w:eastAsia="zh-CN"/>
              </w:rPr>
              <w:t>拟建</w:t>
            </w:r>
            <w:r>
              <w:rPr>
                <w:rFonts w:hint="default" w:ascii="Times New Roman" w:hAnsi="Times New Roman" w:cs="Times New Roman"/>
                <w:color w:val="0000FF"/>
                <w:lang w:val="en-US" w:eastAsia="zh-CN"/>
              </w:rPr>
              <w:t>项目不属于存在土壤、地下水环境污染途径的建设项目</w:t>
            </w:r>
            <w:r>
              <w:rPr>
                <w:rFonts w:hint="eastAsia" w:ascii="Times New Roman" w:hAnsi="Times New Roman" w:cs="Times New Roman"/>
                <w:color w:val="0000FF"/>
                <w:lang w:val="en-US" w:eastAsia="zh-CN"/>
              </w:rPr>
              <w:t>，故无需进行相关监测</w:t>
            </w:r>
            <w:r>
              <w:rPr>
                <w:rFonts w:hint="default" w:ascii="Times New Roman" w:hAnsi="Times New Roman" w:cs="Times New Roman"/>
                <w:color w:val="0000FF"/>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68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环境</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保护</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目标</w:t>
            </w:r>
          </w:p>
        </w:tc>
        <w:tc>
          <w:tcPr>
            <w:tcW w:w="8449" w:type="dxa"/>
            <w:noWrap w:val="0"/>
            <w:vAlign w:val="center"/>
          </w:tcPr>
          <w:p>
            <w:pPr>
              <w:pStyle w:val="43"/>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拟建项目厂界外50米范围内无声环境保护目标</w:t>
            </w:r>
            <w:r>
              <w:rPr>
                <w:rFonts w:hint="eastAsia" w:cs="Times New Roman"/>
                <w:color w:val="0000FF"/>
                <w:lang w:val="en-US" w:eastAsia="zh-CN"/>
              </w:rPr>
              <w:t>，</w:t>
            </w:r>
            <w:r>
              <w:rPr>
                <w:rFonts w:hint="default" w:ascii="Times New Roman" w:hAnsi="Times New Roman" w:cs="Times New Roman"/>
                <w:color w:val="0000FF"/>
                <w:lang w:val="en-US" w:eastAsia="zh-CN"/>
              </w:rPr>
              <w:t>500m范围内无地下水集中</w:t>
            </w:r>
            <w:r>
              <w:rPr>
                <w:rFonts w:hint="eastAsia" w:cs="Times New Roman"/>
                <w:color w:val="0000FF"/>
                <w:lang w:val="en-US" w:eastAsia="zh-CN"/>
              </w:rPr>
              <w:t>饮</w:t>
            </w:r>
            <w:r>
              <w:rPr>
                <w:rFonts w:hint="default" w:ascii="Times New Roman" w:hAnsi="Times New Roman" w:cs="Times New Roman"/>
                <w:color w:val="0000FF"/>
                <w:lang w:val="en-US" w:eastAsia="zh-CN"/>
              </w:rPr>
              <w:t>用水水源和热水、矿泉水、温泉等特殊</w:t>
            </w:r>
            <w:r>
              <w:rPr>
                <w:rFonts w:hint="eastAsia" w:cs="Times New Roman"/>
                <w:color w:val="0000FF"/>
                <w:lang w:val="en-US" w:eastAsia="zh-CN"/>
              </w:rPr>
              <w:t>地</w:t>
            </w:r>
            <w:r>
              <w:rPr>
                <w:rFonts w:hint="default" w:ascii="Times New Roman" w:hAnsi="Times New Roman" w:cs="Times New Roman"/>
                <w:color w:val="0000FF"/>
                <w:lang w:val="en-US" w:eastAsia="zh-CN"/>
              </w:rPr>
              <w:t>下水资源</w:t>
            </w:r>
            <w:r>
              <w:rPr>
                <w:rFonts w:hint="eastAsia" w:cs="Times New Roman"/>
                <w:color w:val="0000FF"/>
                <w:lang w:val="en-US" w:eastAsia="zh-CN"/>
              </w:rPr>
              <w:t>，不涉及无自然保护区、风景名胜区、森林公园等生态环境保护目标，厂界外500m范围内大气环境保护目标见3-6。</w:t>
            </w:r>
          </w:p>
          <w:p>
            <w:pPr>
              <w:pStyle w:val="43"/>
              <w:bidi w:val="0"/>
              <w:rPr>
                <w:rFonts w:hint="default" w:ascii="Times New Roman" w:hAnsi="Times New Roman" w:cs="Times New Roman"/>
                <w:color w:val="0000FF"/>
              </w:rPr>
            </w:pPr>
            <w:r>
              <w:rPr>
                <w:rFonts w:hint="default" w:ascii="Times New Roman" w:hAnsi="Times New Roman" w:cs="Times New Roman"/>
                <w:color w:val="0000FF"/>
                <w:lang w:val="en-US" w:eastAsia="zh-CN"/>
              </w:rPr>
              <w:t>拟建项目</w:t>
            </w:r>
            <w:r>
              <w:rPr>
                <w:rFonts w:hint="default" w:ascii="Times New Roman" w:hAnsi="Times New Roman" w:cs="Times New Roman"/>
                <w:color w:val="0000FF"/>
              </w:rPr>
              <w:t>厂界外</w:t>
            </w:r>
            <w:r>
              <w:rPr>
                <w:rFonts w:hint="eastAsia" w:cs="Times New Roman"/>
                <w:color w:val="0000FF"/>
                <w:lang w:val="en-US" w:eastAsia="zh-CN"/>
              </w:rPr>
              <w:t>主要</w:t>
            </w:r>
            <w:r>
              <w:rPr>
                <w:rFonts w:hint="default" w:ascii="Times New Roman" w:hAnsi="Times New Roman" w:cs="Times New Roman"/>
                <w:color w:val="0000FF"/>
              </w:rPr>
              <w:t>环境保护目标见</w:t>
            </w:r>
            <w:r>
              <w:rPr>
                <w:rFonts w:hint="eastAsia" w:cs="Times New Roman"/>
                <w:color w:val="0000FF"/>
                <w:lang w:val="en-US" w:eastAsia="zh-CN"/>
              </w:rPr>
              <w:t>表</w:t>
            </w:r>
            <w:r>
              <w:rPr>
                <w:rFonts w:hint="default" w:ascii="Times New Roman" w:hAnsi="Times New Roman" w:cs="Times New Roman"/>
                <w:color w:val="0000FF"/>
              </w:rPr>
              <w:t>3-</w:t>
            </w:r>
            <w:r>
              <w:rPr>
                <w:rFonts w:hint="eastAsia" w:cs="Times New Roman"/>
                <w:color w:val="0000FF"/>
                <w:lang w:val="en-US" w:eastAsia="zh-CN"/>
              </w:rPr>
              <w:t>6</w:t>
            </w:r>
            <w:r>
              <w:rPr>
                <w:rFonts w:hint="default" w:ascii="Times New Roman" w:hAnsi="Times New Roman" w:cs="Times New Roman"/>
                <w:color w:val="0000FF"/>
              </w:rPr>
              <w:t>。</w:t>
            </w:r>
          </w:p>
          <w:p>
            <w:pPr>
              <w:pStyle w:val="44"/>
              <w:bidi w:val="0"/>
              <w:rPr>
                <w:rFonts w:hint="default" w:ascii="Times New Roman" w:hAnsi="Times New Roman" w:cs="Times New Roman"/>
                <w:color w:val="0000FF"/>
                <w:lang w:eastAsia="zh-CN"/>
              </w:rPr>
            </w:pPr>
            <w:r>
              <w:rPr>
                <w:rFonts w:hint="default" w:ascii="Times New Roman" w:hAnsi="Times New Roman" w:cs="Times New Roman"/>
                <w:color w:val="0000FF"/>
              </w:rPr>
              <w:t>表3-</w:t>
            </w:r>
            <w:r>
              <w:rPr>
                <w:rFonts w:hint="eastAsia" w:cs="Times New Roman"/>
                <w:color w:val="0000FF"/>
                <w:lang w:val="en-US" w:eastAsia="zh-CN"/>
              </w:rPr>
              <w:t>6</w:t>
            </w:r>
            <w:r>
              <w:rPr>
                <w:rFonts w:hint="default" w:ascii="Times New Roman" w:hAnsi="Times New Roman" w:cs="Times New Roman"/>
                <w:color w:val="0000FF"/>
              </w:rPr>
              <w:t xml:space="preserve">  主要环境保护目标</w:t>
            </w:r>
            <w:r>
              <w:rPr>
                <w:rFonts w:hint="default" w:ascii="Times New Roman" w:hAnsi="Times New Roman" w:cs="Times New Roman"/>
                <w:color w:val="0000FF"/>
                <w:lang w:eastAsia="zh-CN"/>
              </w:rPr>
              <w:t>表</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411"/>
              <w:gridCol w:w="1731"/>
              <w:gridCol w:w="918"/>
              <w:gridCol w:w="863"/>
              <w:gridCol w:w="1386"/>
              <w:gridCol w:w="665"/>
              <w:gridCol w:w="637"/>
              <w:gridCol w:w="665"/>
              <w:gridCol w:w="957"/>
            </w:tblGrid>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340" w:hRule="atLeast"/>
                <w:jc w:val="center"/>
              </w:trPr>
              <w:tc>
                <w:tcPr>
                  <w:tcW w:w="411"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序</w:t>
                  </w:r>
                </w:p>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号</w:t>
                  </w:r>
                </w:p>
              </w:tc>
              <w:tc>
                <w:tcPr>
                  <w:tcW w:w="1731"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名称</w:t>
                  </w:r>
                </w:p>
              </w:tc>
              <w:tc>
                <w:tcPr>
                  <w:tcW w:w="1781" w:type="dxa"/>
                  <w:gridSpan w:val="2"/>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坐标/m</w:t>
                  </w:r>
                </w:p>
              </w:tc>
              <w:tc>
                <w:tcPr>
                  <w:tcW w:w="1386"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保护对象</w:t>
                  </w:r>
                </w:p>
              </w:tc>
              <w:tc>
                <w:tcPr>
                  <w:tcW w:w="665"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保护</w:t>
                  </w:r>
                </w:p>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内容</w:t>
                  </w:r>
                </w:p>
              </w:tc>
              <w:tc>
                <w:tcPr>
                  <w:tcW w:w="637"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环境</w:t>
                  </w:r>
                </w:p>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功能区</w:t>
                  </w:r>
                </w:p>
              </w:tc>
              <w:tc>
                <w:tcPr>
                  <w:tcW w:w="665"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相对厂址方位</w:t>
                  </w:r>
                </w:p>
              </w:tc>
              <w:tc>
                <w:tcPr>
                  <w:tcW w:w="957"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相对厂界最近距离/m</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jc w:val="center"/>
              </w:trPr>
              <w:tc>
                <w:tcPr>
                  <w:tcW w:w="411"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1731"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918"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X</w:t>
                  </w:r>
                </w:p>
              </w:tc>
              <w:tc>
                <w:tcPr>
                  <w:tcW w:w="863"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Y</w:t>
                  </w:r>
                </w:p>
              </w:tc>
              <w:tc>
                <w:tcPr>
                  <w:tcW w:w="1386"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3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95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jc w:val="center"/>
              </w:trPr>
              <w:tc>
                <w:tcPr>
                  <w:tcW w:w="411"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1</w:t>
                  </w:r>
                </w:p>
              </w:tc>
              <w:tc>
                <w:tcPr>
                  <w:tcW w:w="1731"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通桥街道</w:t>
                  </w:r>
                </w:p>
              </w:tc>
              <w:tc>
                <w:tcPr>
                  <w:tcW w:w="918"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105.76</w:t>
                  </w:r>
                  <w:r>
                    <w:rPr>
                      <w:rFonts w:hint="eastAsia" w:cs="Times New Roman"/>
                      <w:color w:val="0000FF"/>
                      <w:sz w:val="21"/>
                      <w:szCs w:val="21"/>
                      <w:lang w:val="en-US" w:eastAsia="zh-CN"/>
                    </w:rPr>
                    <w:t>6°</w:t>
                  </w:r>
                </w:p>
              </w:tc>
              <w:tc>
                <w:tcPr>
                  <w:tcW w:w="863"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29.518</w:t>
                  </w:r>
                  <w:r>
                    <w:rPr>
                      <w:rFonts w:hint="eastAsia" w:cs="Times New Roman"/>
                      <w:color w:val="0000FF"/>
                      <w:sz w:val="21"/>
                      <w:szCs w:val="21"/>
                      <w:lang w:val="en-US" w:eastAsia="zh-CN"/>
                    </w:rPr>
                    <w:t>°</w:t>
                  </w:r>
                </w:p>
              </w:tc>
              <w:tc>
                <w:tcPr>
                  <w:tcW w:w="1386"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部分居民区，约200人</w:t>
                  </w:r>
                </w:p>
              </w:tc>
              <w:tc>
                <w:tcPr>
                  <w:tcW w:w="665"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大气</w:t>
                  </w:r>
                </w:p>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环境</w:t>
                  </w:r>
                </w:p>
              </w:tc>
              <w:tc>
                <w:tcPr>
                  <w:tcW w:w="637" w:type="dxa"/>
                  <w:vMerge w:val="restart"/>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大气二类</w:t>
                  </w:r>
                </w:p>
              </w:tc>
              <w:tc>
                <w:tcPr>
                  <w:tcW w:w="665"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西北</w:t>
                  </w:r>
                </w:p>
              </w:tc>
              <w:tc>
                <w:tcPr>
                  <w:tcW w:w="957"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360</w:t>
                  </w:r>
                </w:p>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~500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jc w:val="center"/>
              </w:trPr>
              <w:tc>
                <w:tcPr>
                  <w:tcW w:w="411"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2</w:t>
                  </w:r>
                </w:p>
              </w:tc>
              <w:tc>
                <w:tcPr>
                  <w:tcW w:w="1731"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通桥街道小学</w:t>
                  </w:r>
                </w:p>
              </w:tc>
              <w:tc>
                <w:tcPr>
                  <w:tcW w:w="918"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105.76</w:t>
                  </w:r>
                  <w:r>
                    <w:rPr>
                      <w:rFonts w:hint="eastAsia" w:cs="Times New Roman"/>
                      <w:color w:val="0000FF"/>
                      <w:sz w:val="21"/>
                      <w:szCs w:val="21"/>
                      <w:lang w:val="en-US" w:eastAsia="zh-CN"/>
                    </w:rPr>
                    <w:t>7°</w:t>
                  </w:r>
                </w:p>
              </w:tc>
              <w:tc>
                <w:tcPr>
                  <w:tcW w:w="863"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29.522°</w:t>
                  </w:r>
                </w:p>
              </w:tc>
              <w:tc>
                <w:tcPr>
                  <w:tcW w:w="1386"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学校，在校师生300人</w:t>
                  </w: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3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西北</w:t>
                  </w:r>
                </w:p>
              </w:tc>
              <w:tc>
                <w:tcPr>
                  <w:tcW w:w="957"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840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jc w:val="center"/>
              </w:trPr>
              <w:tc>
                <w:tcPr>
                  <w:tcW w:w="411"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3</w:t>
                  </w:r>
                </w:p>
              </w:tc>
              <w:tc>
                <w:tcPr>
                  <w:tcW w:w="1731" w:type="dxa"/>
                  <w:tcBorders>
                    <w:tl2br w:val="nil"/>
                    <w:tr2bl w:val="nil"/>
                  </w:tcBorders>
                  <w:noWrap w:val="0"/>
                  <w:vAlign w:val="center"/>
                </w:tcPr>
                <w:p>
                  <w:pPr>
                    <w:pStyle w:val="45"/>
                    <w:bidi w:val="0"/>
                    <w:jc w:val="both"/>
                    <w:rPr>
                      <w:rFonts w:hint="default" w:cs="Times New Roman"/>
                      <w:color w:val="0000FF"/>
                      <w:sz w:val="21"/>
                      <w:szCs w:val="21"/>
                      <w:lang w:val="en-US" w:eastAsia="zh-CN"/>
                    </w:rPr>
                  </w:pPr>
                  <w:r>
                    <w:rPr>
                      <w:rFonts w:hint="eastAsia" w:cs="Times New Roman"/>
                      <w:color w:val="0000FF"/>
                      <w:sz w:val="21"/>
                      <w:szCs w:val="21"/>
                      <w:lang w:val="en-US" w:eastAsia="zh-CN"/>
                    </w:rPr>
                    <w:t>通桥街道幼儿园</w:t>
                  </w:r>
                </w:p>
              </w:tc>
              <w:tc>
                <w:tcPr>
                  <w:tcW w:w="918"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105.76</w:t>
                  </w:r>
                  <w:r>
                    <w:rPr>
                      <w:rFonts w:hint="eastAsia" w:cs="Times New Roman"/>
                      <w:color w:val="0000FF"/>
                      <w:sz w:val="21"/>
                      <w:szCs w:val="21"/>
                      <w:lang w:val="en-US" w:eastAsia="zh-CN"/>
                    </w:rPr>
                    <w:t>7°</w:t>
                  </w:r>
                </w:p>
              </w:tc>
              <w:tc>
                <w:tcPr>
                  <w:tcW w:w="863"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29.522°</w:t>
                  </w:r>
                </w:p>
              </w:tc>
              <w:tc>
                <w:tcPr>
                  <w:tcW w:w="1386"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幼儿园，在校师生50人</w:t>
                  </w: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3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西北</w:t>
                  </w:r>
                </w:p>
              </w:tc>
              <w:tc>
                <w:tcPr>
                  <w:tcW w:w="957"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840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jc w:val="center"/>
              </w:trPr>
              <w:tc>
                <w:tcPr>
                  <w:tcW w:w="411"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4</w:t>
                  </w:r>
                </w:p>
              </w:tc>
              <w:tc>
                <w:tcPr>
                  <w:tcW w:w="1731"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养老院</w:t>
                  </w:r>
                </w:p>
              </w:tc>
              <w:tc>
                <w:tcPr>
                  <w:tcW w:w="918"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105.76</w:t>
                  </w:r>
                  <w:r>
                    <w:rPr>
                      <w:rFonts w:hint="eastAsia" w:cs="Times New Roman"/>
                      <w:color w:val="0000FF"/>
                      <w:sz w:val="21"/>
                      <w:szCs w:val="21"/>
                      <w:lang w:val="en-US" w:eastAsia="zh-CN"/>
                    </w:rPr>
                    <w:t>8°</w:t>
                  </w:r>
                </w:p>
              </w:tc>
              <w:tc>
                <w:tcPr>
                  <w:tcW w:w="863"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29.514°</w:t>
                  </w:r>
                </w:p>
              </w:tc>
              <w:tc>
                <w:tcPr>
                  <w:tcW w:w="1386"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约50人</w:t>
                  </w: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3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东北</w:t>
                  </w:r>
                </w:p>
              </w:tc>
              <w:tc>
                <w:tcPr>
                  <w:tcW w:w="957" w:type="dxa"/>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240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jc w:val="center"/>
              </w:trPr>
              <w:tc>
                <w:tcPr>
                  <w:tcW w:w="411"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eastAsia" w:ascii="Times New Roman" w:hAnsi="Times New Roman" w:cs="Times New Roman"/>
                      <w:color w:val="0000FF"/>
                      <w:kern w:val="0"/>
                      <w:sz w:val="21"/>
                      <w:szCs w:val="21"/>
                      <w:lang w:val="en-US" w:eastAsia="zh-CN" w:bidi="ar-SA"/>
                    </w:rPr>
                    <w:t>5</w:t>
                  </w:r>
                </w:p>
              </w:tc>
              <w:tc>
                <w:tcPr>
                  <w:tcW w:w="1731"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cs="Times New Roman"/>
                      <w:color w:val="0000FF"/>
                      <w:sz w:val="21"/>
                      <w:szCs w:val="21"/>
                      <w:lang w:val="en-US" w:eastAsia="zh-CN"/>
                    </w:rPr>
                    <w:t>重庆工程学院双桥校区</w:t>
                  </w:r>
                </w:p>
              </w:tc>
              <w:tc>
                <w:tcPr>
                  <w:tcW w:w="918"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cs="Times New Roman"/>
                      <w:color w:val="0000FF"/>
                      <w:sz w:val="21"/>
                      <w:szCs w:val="21"/>
                      <w:lang w:val="en-US" w:eastAsia="zh-CN"/>
                    </w:rPr>
                    <w:t>105.77</w:t>
                  </w:r>
                  <w:r>
                    <w:rPr>
                      <w:rFonts w:hint="eastAsia" w:cs="Times New Roman"/>
                      <w:color w:val="0000FF"/>
                      <w:sz w:val="21"/>
                      <w:szCs w:val="21"/>
                      <w:lang w:val="en-US" w:eastAsia="zh-CN"/>
                    </w:rPr>
                    <w:t>8°</w:t>
                  </w:r>
                </w:p>
              </w:tc>
              <w:tc>
                <w:tcPr>
                  <w:tcW w:w="863"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cs="Times New Roman"/>
                      <w:color w:val="0000FF"/>
                      <w:sz w:val="21"/>
                      <w:szCs w:val="21"/>
                      <w:lang w:val="en-US" w:eastAsia="zh-CN"/>
                    </w:rPr>
                    <w:t>29.51</w:t>
                  </w:r>
                  <w:r>
                    <w:rPr>
                      <w:rFonts w:hint="eastAsia" w:cs="Times New Roman"/>
                      <w:color w:val="0000FF"/>
                      <w:sz w:val="21"/>
                      <w:szCs w:val="21"/>
                      <w:lang w:val="en-US" w:eastAsia="zh-CN"/>
                    </w:rPr>
                    <w:t>5°</w:t>
                  </w:r>
                </w:p>
              </w:tc>
              <w:tc>
                <w:tcPr>
                  <w:tcW w:w="1386"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cs="Times New Roman"/>
                      <w:color w:val="0000FF"/>
                      <w:sz w:val="21"/>
                      <w:szCs w:val="21"/>
                      <w:lang w:val="en-US" w:eastAsia="zh-CN"/>
                    </w:rPr>
                    <w:t>学校，在校师生5000人</w:t>
                  </w: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3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cs="Times New Roman"/>
                      <w:color w:val="0000FF"/>
                      <w:sz w:val="21"/>
                      <w:szCs w:val="21"/>
                      <w:lang w:val="en-US" w:eastAsia="zh-CN"/>
                    </w:rPr>
                    <w:t>东</w:t>
                  </w:r>
                </w:p>
              </w:tc>
              <w:tc>
                <w:tcPr>
                  <w:tcW w:w="957" w:type="dxa"/>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cs="Times New Roman"/>
                      <w:color w:val="0000FF"/>
                      <w:sz w:val="21"/>
                      <w:szCs w:val="21"/>
                      <w:lang w:val="en-US" w:eastAsia="zh-CN"/>
                    </w:rPr>
                    <w:t>500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17" w:hRule="atLeast"/>
                <w:jc w:val="center"/>
              </w:trPr>
              <w:tc>
                <w:tcPr>
                  <w:tcW w:w="411"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kern w:val="0"/>
                      <w:sz w:val="21"/>
                      <w:szCs w:val="21"/>
                      <w:lang w:val="en-US" w:eastAsia="zh-CN" w:bidi="ar-SA"/>
                    </w:rPr>
                  </w:pPr>
                  <w:r>
                    <w:rPr>
                      <w:rFonts w:hint="eastAsia" w:cs="Times New Roman"/>
                      <w:color w:val="0000FF"/>
                      <w:kern w:val="0"/>
                      <w:sz w:val="21"/>
                      <w:szCs w:val="21"/>
                      <w:lang w:val="en-US" w:eastAsia="zh-CN" w:bidi="ar-SA"/>
                    </w:rPr>
                    <w:t>6</w:t>
                  </w:r>
                </w:p>
              </w:tc>
              <w:tc>
                <w:tcPr>
                  <w:tcW w:w="1731"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山水名都</w:t>
                  </w:r>
                </w:p>
              </w:tc>
              <w:tc>
                <w:tcPr>
                  <w:tcW w:w="918"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105.</w:t>
                  </w:r>
                  <w:r>
                    <w:rPr>
                      <w:rFonts w:hint="eastAsia" w:cs="Times New Roman"/>
                      <w:color w:val="0000FF"/>
                      <w:sz w:val="21"/>
                      <w:szCs w:val="21"/>
                      <w:lang w:val="en-US" w:eastAsia="zh-CN"/>
                    </w:rPr>
                    <w:t>770°</w:t>
                  </w:r>
                </w:p>
              </w:tc>
              <w:tc>
                <w:tcPr>
                  <w:tcW w:w="863"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29.5</w:t>
                  </w:r>
                  <w:r>
                    <w:rPr>
                      <w:rFonts w:hint="eastAsia" w:cs="Times New Roman"/>
                      <w:color w:val="0000FF"/>
                      <w:sz w:val="21"/>
                      <w:szCs w:val="21"/>
                      <w:lang w:val="en-US" w:eastAsia="zh-CN"/>
                    </w:rPr>
                    <w:t>09°</w:t>
                  </w:r>
                </w:p>
              </w:tc>
              <w:tc>
                <w:tcPr>
                  <w:tcW w:w="1386"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小区，约10000人</w:t>
                  </w: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3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东南</w:t>
                  </w:r>
                </w:p>
              </w:tc>
              <w:tc>
                <w:tcPr>
                  <w:tcW w:w="957"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540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4" w:space="0"/>
                </w:tblBorders>
              </w:tblPrEx>
              <w:trPr>
                <w:trHeight w:val="517" w:hRule="atLeast"/>
                <w:jc w:val="center"/>
              </w:trPr>
              <w:tc>
                <w:tcPr>
                  <w:tcW w:w="411" w:type="dxa"/>
                  <w:tcBorders>
                    <w:tl2br w:val="nil"/>
                    <w:tr2bl w:val="nil"/>
                  </w:tcBorders>
                  <w:noWrap w:val="0"/>
                  <w:vAlign w:val="center"/>
                </w:tcPr>
                <w:p>
                  <w:pPr>
                    <w:pStyle w:val="45"/>
                    <w:bidi w:val="0"/>
                    <w:ind w:firstLine="0" w:firstLineChars="0"/>
                    <w:jc w:val="both"/>
                    <w:rPr>
                      <w:rFonts w:hint="default" w:cs="Times New Roman"/>
                      <w:color w:val="0000FF"/>
                      <w:kern w:val="0"/>
                      <w:sz w:val="21"/>
                      <w:szCs w:val="21"/>
                      <w:lang w:val="en-US" w:eastAsia="zh-CN" w:bidi="ar-SA"/>
                    </w:rPr>
                  </w:pPr>
                  <w:r>
                    <w:rPr>
                      <w:rFonts w:hint="eastAsia" w:cs="Times New Roman"/>
                      <w:color w:val="0000FF"/>
                      <w:kern w:val="0"/>
                      <w:sz w:val="21"/>
                      <w:szCs w:val="21"/>
                      <w:lang w:val="en-US" w:eastAsia="zh-CN" w:bidi="ar-SA"/>
                    </w:rPr>
                    <w:t>7</w:t>
                  </w:r>
                </w:p>
              </w:tc>
              <w:tc>
                <w:tcPr>
                  <w:tcW w:w="1731"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双佛寺</w:t>
                  </w:r>
                </w:p>
              </w:tc>
              <w:tc>
                <w:tcPr>
                  <w:tcW w:w="918"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105.77</w:t>
                  </w:r>
                  <w:r>
                    <w:rPr>
                      <w:rFonts w:hint="eastAsia" w:cs="Times New Roman"/>
                      <w:color w:val="0000FF"/>
                      <w:sz w:val="21"/>
                      <w:szCs w:val="21"/>
                      <w:lang w:val="en-US" w:eastAsia="zh-CN"/>
                    </w:rPr>
                    <w:t>3°</w:t>
                  </w:r>
                </w:p>
              </w:tc>
              <w:tc>
                <w:tcPr>
                  <w:tcW w:w="863"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default" w:ascii="Times New Roman" w:hAnsi="Times New Roman" w:cs="Times New Roman"/>
                      <w:color w:val="0000FF"/>
                      <w:sz w:val="21"/>
                      <w:szCs w:val="21"/>
                      <w:lang w:val="en-US" w:eastAsia="zh-CN"/>
                    </w:rPr>
                    <w:t>29.51</w:t>
                  </w:r>
                  <w:r>
                    <w:rPr>
                      <w:rFonts w:hint="eastAsia" w:cs="Times New Roman"/>
                      <w:color w:val="0000FF"/>
                      <w:sz w:val="21"/>
                      <w:szCs w:val="21"/>
                      <w:lang w:val="en-US" w:eastAsia="zh-CN"/>
                    </w:rPr>
                    <w:t>6°</w:t>
                  </w:r>
                </w:p>
              </w:tc>
              <w:tc>
                <w:tcPr>
                  <w:tcW w:w="1386"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寺庙</w:t>
                  </w:r>
                </w:p>
              </w:tc>
              <w:tc>
                <w:tcPr>
                  <w:tcW w:w="665"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37" w:type="dxa"/>
                  <w:vMerge w:val="continue"/>
                  <w:tcBorders>
                    <w:tl2br w:val="nil"/>
                    <w:tr2bl w:val="nil"/>
                  </w:tcBorders>
                  <w:noWrap w:val="0"/>
                  <w:vAlign w:val="center"/>
                </w:tcPr>
                <w:p>
                  <w:pPr>
                    <w:pStyle w:val="45"/>
                    <w:bidi w:val="0"/>
                    <w:jc w:val="both"/>
                    <w:rPr>
                      <w:rFonts w:hint="default" w:ascii="Times New Roman" w:hAnsi="Times New Roman" w:cs="Times New Roman"/>
                      <w:color w:val="0000FF"/>
                      <w:sz w:val="21"/>
                      <w:szCs w:val="21"/>
                      <w:lang w:val="en-US" w:eastAsia="zh-CN"/>
                    </w:rPr>
                  </w:pPr>
                </w:p>
              </w:tc>
              <w:tc>
                <w:tcPr>
                  <w:tcW w:w="665"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东北</w:t>
                  </w:r>
                </w:p>
              </w:tc>
              <w:tc>
                <w:tcPr>
                  <w:tcW w:w="957"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360</w:t>
                  </w:r>
                </w:p>
              </w:tc>
            </w:tr>
          </w:tbl>
          <w:p>
            <w:pPr>
              <w:pStyle w:val="43"/>
              <w:rPr>
                <w:rFonts w:hint="default" w:ascii="Times New Roman" w:hAnsi="Times New Roman" w:cs="Times New Roman"/>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4" w:type="dxa"/>
            <w:noWrap w:val="0"/>
            <w:tcMar>
              <w:left w:w="28" w:type="dxa"/>
              <w:right w:w="28" w:type="dxa"/>
            </w:tcMar>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污染</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物排</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放控</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制标</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准</w:t>
            </w:r>
          </w:p>
        </w:tc>
        <w:tc>
          <w:tcPr>
            <w:tcW w:w="8449" w:type="dxa"/>
            <w:noWrap w:val="0"/>
            <w:vAlign w:val="center"/>
          </w:tcPr>
          <w:p>
            <w:pPr>
              <w:pStyle w:val="46"/>
              <w:numPr>
                <w:ilvl w:val="0"/>
                <w:numId w:val="0"/>
              </w:numPr>
              <w:bidi w:val="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废气</w:t>
            </w:r>
          </w:p>
          <w:p>
            <w:pPr>
              <w:pStyle w:val="43"/>
              <w:bidi w:val="0"/>
              <w:rPr>
                <w:rFonts w:hint="default" w:ascii="Times New Roman" w:hAnsi="Times New Roman" w:cs="Times New Roman"/>
                <w:color w:val="auto"/>
              </w:rPr>
            </w:pPr>
            <w:r>
              <w:rPr>
                <w:rFonts w:hint="default" w:ascii="Times New Roman" w:hAnsi="Times New Roman" w:cs="Times New Roman"/>
                <w:color w:val="auto"/>
                <w:lang w:val="en-US" w:eastAsia="zh-CN"/>
              </w:rPr>
              <w:t>拟建</w:t>
            </w:r>
            <w:r>
              <w:rPr>
                <w:rFonts w:hint="default" w:ascii="Times New Roman" w:hAnsi="Times New Roman" w:cs="Times New Roman"/>
                <w:color w:val="auto"/>
              </w:rPr>
              <w:t>项目施工期产生的</w:t>
            </w:r>
            <w:r>
              <w:rPr>
                <w:rFonts w:hint="default" w:ascii="Times New Roman" w:hAnsi="Times New Roman" w:cs="Times New Roman"/>
                <w:color w:val="auto"/>
                <w:lang w:val="en-US" w:eastAsia="zh-CN"/>
              </w:rPr>
              <w:t>施工</w:t>
            </w:r>
            <w:r>
              <w:rPr>
                <w:rFonts w:hint="default" w:ascii="Times New Roman" w:hAnsi="Times New Roman" w:cs="Times New Roman"/>
                <w:color w:val="auto"/>
              </w:rPr>
              <w:t>废气执行重庆市地方标准《大气污染物综合排放标准》（DB50/418-2016）表1中的</w:t>
            </w:r>
            <w:r>
              <w:rPr>
                <w:rFonts w:hint="default" w:ascii="Times New Roman" w:hAnsi="Times New Roman" w:cs="Times New Roman"/>
                <w:color w:val="auto"/>
                <w:lang w:val="en-US" w:eastAsia="zh-CN"/>
              </w:rPr>
              <w:t>其他区域无组织</w:t>
            </w:r>
            <w:r>
              <w:rPr>
                <w:rFonts w:hint="default" w:ascii="Times New Roman" w:hAnsi="Times New Roman" w:cs="Times New Roman"/>
                <w:color w:val="auto"/>
              </w:rPr>
              <w:t>标准限值</w:t>
            </w:r>
            <w:r>
              <w:rPr>
                <w:rFonts w:hint="eastAsia" w:cs="Times New Roman"/>
                <w:color w:val="auto"/>
                <w:lang w:val="en-US" w:eastAsia="zh-CN"/>
              </w:rPr>
              <w:t>。</w:t>
            </w:r>
            <w:r>
              <w:rPr>
                <w:rFonts w:hint="default" w:ascii="Times New Roman" w:hAnsi="Times New Roman" w:cs="Times New Roman"/>
                <w:color w:val="auto"/>
                <w:lang w:val="en-US" w:eastAsia="zh-CN"/>
              </w:rPr>
              <w:t>相关标准值</w:t>
            </w:r>
            <w:r>
              <w:rPr>
                <w:rFonts w:hint="default" w:ascii="Times New Roman" w:hAnsi="Times New Roman" w:cs="Times New Roman"/>
                <w:color w:val="auto"/>
              </w:rPr>
              <w:t>详见表</w:t>
            </w:r>
            <w:r>
              <w:rPr>
                <w:rFonts w:hint="default" w:ascii="Times New Roman" w:hAnsi="Times New Roman" w:cs="Times New Roman"/>
                <w:color w:val="auto"/>
                <w:lang w:val="en-US" w:eastAsia="zh-CN"/>
              </w:rPr>
              <w:t>3-</w:t>
            </w:r>
            <w:r>
              <w:rPr>
                <w:rFonts w:hint="eastAsia" w:cs="Times New Roman"/>
                <w:color w:val="auto"/>
                <w:lang w:val="en-US" w:eastAsia="zh-CN"/>
              </w:rPr>
              <w:t>7</w:t>
            </w:r>
            <w:r>
              <w:rPr>
                <w:rFonts w:hint="default" w:ascii="Times New Roman" w:hAnsi="Times New Roman" w:cs="Times New Roman"/>
                <w:color w:val="auto"/>
              </w:rPr>
              <w:t>。</w:t>
            </w: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rPr>
              <w:t>表</w:t>
            </w:r>
            <w:r>
              <w:rPr>
                <w:rFonts w:hint="default" w:ascii="Times New Roman" w:hAnsi="Times New Roman" w:cs="Times New Roman"/>
                <w:color w:val="auto"/>
                <w:lang w:val="en-US" w:eastAsia="zh-CN"/>
              </w:rPr>
              <w:t>3-</w:t>
            </w:r>
            <w:r>
              <w:rPr>
                <w:rFonts w:hint="eastAsia" w:cs="Times New Roman"/>
                <w:color w:val="auto"/>
                <w:lang w:val="en-US" w:eastAsia="zh-CN"/>
              </w:rPr>
              <w:t>7</w:t>
            </w:r>
            <w:r>
              <w:rPr>
                <w:rFonts w:hint="default" w:ascii="Times New Roman" w:hAnsi="Times New Roman" w:cs="Times New Roman"/>
                <w:color w:val="auto"/>
              </w:rPr>
              <w:t xml:space="preserve">  </w:t>
            </w:r>
            <w:r>
              <w:rPr>
                <w:rFonts w:hint="eastAsia" w:cs="Times New Roman"/>
                <w:color w:val="auto"/>
                <w:lang w:eastAsia="zh-CN"/>
              </w:rPr>
              <w:t>《</w:t>
            </w:r>
            <w:r>
              <w:rPr>
                <w:rFonts w:hint="default" w:ascii="Times New Roman" w:hAnsi="Times New Roman" w:cs="Times New Roman"/>
                <w:color w:val="auto"/>
              </w:rPr>
              <w:t>大气污染物综合排放标准</w:t>
            </w:r>
            <w:r>
              <w:rPr>
                <w:rFonts w:hint="eastAsia" w:cs="Times New Roman"/>
                <w:color w:val="auto"/>
                <w:lang w:eastAsia="zh-CN"/>
              </w:rPr>
              <w:t>》</w:t>
            </w:r>
            <w:r>
              <w:rPr>
                <w:rFonts w:hint="default" w:ascii="Times New Roman" w:hAnsi="Times New Roman" w:cs="Times New Roman"/>
                <w:color w:val="auto"/>
              </w:rPr>
              <w:t xml:space="preserve">（DB 50/418-2016） </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6" w:type="dxa"/>
                <w:bottom w:w="0" w:type="dxa"/>
                <w:right w:w="56" w:type="dxa"/>
              </w:tblCellMar>
            </w:tblPr>
            <w:tblGrid>
              <w:gridCol w:w="1276"/>
              <w:gridCol w:w="3714"/>
              <w:gridCol w:w="32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6" w:type="dxa"/>
                  <w:bottom w:w="0" w:type="dxa"/>
                  <w:right w:w="56" w:type="dxa"/>
                </w:tblCellMar>
              </w:tblPrEx>
              <w:trPr>
                <w:cantSplit/>
                <w:trHeight w:val="397" w:hRule="atLeast"/>
                <w:jc w:val="center"/>
              </w:trPr>
              <w:tc>
                <w:tcPr>
                  <w:tcW w:w="774"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污染物</w:t>
                  </w:r>
                </w:p>
              </w:tc>
              <w:tc>
                <w:tcPr>
                  <w:tcW w:w="2255"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大气污染物最高允许排放浓度（mg/m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w:t>
                  </w:r>
                </w:p>
              </w:tc>
              <w:tc>
                <w:tcPr>
                  <w:tcW w:w="1969" w:type="pct"/>
                  <w:tcBorders>
                    <w:tl2br w:val="nil"/>
                    <w:tr2bl w:val="nil"/>
                  </w:tcBorders>
                  <w:noWrap w:val="0"/>
                  <w:tcMar>
                    <w:left w:w="0" w:type="dxa"/>
                    <w:right w:w="0" w:type="dxa"/>
                  </w:tcMar>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无组织排放监控浓度限值（mg/m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97" w:hRule="atLeast"/>
                <w:jc w:val="center"/>
              </w:trPr>
              <w:tc>
                <w:tcPr>
                  <w:tcW w:w="774"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其他颗粒物</w:t>
                  </w:r>
                </w:p>
              </w:tc>
              <w:tc>
                <w:tcPr>
                  <w:tcW w:w="2255"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1969" w:type="pct"/>
                  <w:tcBorders>
                    <w:tl2br w:val="nil"/>
                    <w:tr2bl w:val="nil"/>
                  </w:tcBorders>
                  <w:noWrap w:val="0"/>
                  <w:tcMar>
                    <w:left w:w="0" w:type="dxa"/>
                    <w:right w:w="0" w:type="dxa"/>
                  </w:tcMar>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r>
          </w:tbl>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w:t>
            </w:r>
            <w:r>
              <w:rPr>
                <w:rFonts w:hint="default" w:ascii="Times New Roman" w:hAnsi="Times New Roman" w:cs="Times New Roman"/>
                <w:color w:val="auto"/>
                <w:lang w:val="zh-CN" w:eastAsia="zh-CN"/>
              </w:rPr>
              <w:t>项目位于</w:t>
            </w:r>
            <w:r>
              <w:rPr>
                <w:rFonts w:hint="default" w:ascii="Times New Roman" w:hAnsi="Times New Roman" w:cs="Times New Roman"/>
                <w:color w:val="auto"/>
                <w:lang w:val="en-US" w:eastAsia="zh-CN"/>
              </w:rPr>
              <w:t>重庆市大足区</w:t>
            </w: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挤塑废气等产生的非甲烷总烃</w:t>
            </w:r>
            <w:r>
              <w:rPr>
                <w:rFonts w:hint="default" w:ascii="Times New Roman" w:hAnsi="Times New Roman" w:cs="Times New Roman"/>
                <w:color w:val="auto"/>
                <w:lang w:val="zh-CN" w:eastAsia="zh-CN"/>
              </w:rPr>
              <w:t>执行《</w:t>
            </w:r>
            <w:r>
              <w:rPr>
                <w:rFonts w:hint="default" w:ascii="Times New Roman" w:hAnsi="Times New Roman" w:cs="Times New Roman"/>
                <w:color w:val="auto"/>
                <w:lang w:val="en-US" w:eastAsia="zh-CN"/>
              </w:rPr>
              <w:t>合成树脂工业污染物排放标准</w:t>
            </w: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GB31572</w:t>
            </w:r>
            <w:r>
              <w:rPr>
                <w:rFonts w:hint="default" w:ascii="Times New Roman" w:hAnsi="Times New Roman" w:cs="Times New Roman"/>
                <w:color w:val="auto"/>
                <w:lang w:val="zh-CN" w:eastAsia="zh-CN"/>
              </w:rPr>
              <w:t>-201</w:t>
            </w:r>
            <w:r>
              <w:rPr>
                <w:rFonts w:hint="default" w:ascii="Times New Roman" w:hAnsi="Times New Roman" w:cs="Times New Roman"/>
                <w:color w:val="auto"/>
                <w:lang w:val="en-US" w:eastAsia="zh-CN"/>
              </w:rPr>
              <w:t>5</w:t>
            </w: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相关标准值详见表3-</w:t>
            </w:r>
            <w:r>
              <w:rPr>
                <w:rFonts w:hint="eastAsia" w:cs="Times New Roman"/>
                <w:color w:val="auto"/>
                <w:lang w:val="en-US" w:eastAsia="zh-CN"/>
              </w:rPr>
              <w:t>8</w:t>
            </w:r>
            <w:r>
              <w:rPr>
                <w:rFonts w:hint="default" w:ascii="Times New Roman" w:hAnsi="Times New Roman" w:cs="Times New Roman"/>
                <w:color w:val="auto"/>
                <w:lang w:val="en-US" w:eastAsia="zh-CN"/>
              </w:rPr>
              <w:t>。</w:t>
            </w:r>
          </w:p>
          <w:p>
            <w:pPr>
              <w:pStyle w:val="43"/>
              <w:bidi w:val="0"/>
              <w:ind w:left="0" w:leftChars="0" w:firstLine="0" w:firstLine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表3-</w:t>
            </w:r>
            <w:r>
              <w:rPr>
                <w:rFonts w:hint="eastAsia" w:cs="Times New Roman"/>
                <w:color w:val="auto"/>
                <w:lang w:val="en-US" w:eastAsia="zh-CN"/>
              </w:rPr>
              <w:t>8</w:t>
            </w:r>
            <w:r>
              <w:rPr>
                <w:rFonts w:hint="default" w:ascii="Times New Roman" w:hAnsi="Times New Roman" w:cs="Times New Roman"/>
                <w:color w:val="auto"/>
                <w:lang w:val="en-US" w:eastAsia="zh-CN"/>
              </w:rPr>
              <w:t xml:space="preserve">  </w:t>
            </w:r>
            <w:r>
              <w:rPr>
                <w:rFonts w:hint="eastAsia" w:cs="Times New Roman"/>
                <w:color w:val="auto"/>
                <w:lang w:val="en-US" w:eastAsia="zh-CN"/>
              </w:rPr>
              <w:t>《</w:t>
            </w:r>
            <w:r>
              <w:rPr>
                <w:rFonts w:hint="default" w:ascii="Times New Roman" w:hAnsi="Times New Roman" w:cs="Times New Roman"/>
                <w:color w:val="auto"/>
                <w:lang w:val="en-US" w:eastAsia="zh-CN"/>
              </w:rPr>
              <w:t>合成树脂工业污染物排放标准</w:t>
            </w:r>
            <w:r>
              <w:rPr>
                <w:rFonts w:hint="eastAsia" w:cs="Times New Roman"/>
                <w:color w:val="auto"/>
                <w:lang w:val="en-US" w:eastAsia="zh-CN"/>
              </w:rPr>
              <w:t>》</w:t>
            </w: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GB31572</w:t>
            </w:r>
            <w:r>
              <w:rPr>
                <w:rFonts w:hint="default" w:ascii="Times New Roman" w:hAnsi="Times New Roman" w:cs="Times New Roman"/>
                <w:color w:val="auto"/>
                <w:lang w:val="zh-CN" w:eastAsia="zh-CN"/>
              </w:rPr>
              <w:t>-201</w:t>
            </w:r>
            <w:r>
              <w:rPr>
                <w:rFonts w:hint="default" w:ascii="Times New Roman" w:hAnsi="Times New Roman" w:cs="Times New Roman"/>
                <w:color w:val="auto"/>
                <w:lang w:val="en-US" w:eastAsia="zh-CN"/>
              </w:rPr>
              <w:t>5</w:t>
            </w:r>
            <w:r>
              <w:rPr>
                <w:rFonts w:hint="default" w:ascii="Times New Roman" w:hAnsi="Times New Roman" w:cs="Times New Roman"/>
                <w:color w:val="auto"/>
                <w:lang w:val="zh-CN" w:eastAsia="zh-CN"/>
              </w:rPr>
              <w:t>）</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189"/>
              <w:gridCol w:w="1221"/>
              <w:gridCol w:w="2099"/>
              <w:gridCol w:w="1369"/>
              <w:gridCol w:w="18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77"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序号</w:t>
                  </w:r>
                </w:p>
              </w:tc>
              <w:tc>
                <w:tcPr>
                  <w:tcW w:w="1188"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污染物</w:t>
                  </w:r>
                </w:p>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项目</w:t>
                  </w:r>
                </w:p>
              </w:tc>
              <w:tc>
                <w:tcPr>
                  <w:tcW w:w="1220"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排放</w:t>
                  </w:r>
                </w:p>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限值mg/m</w:t>
                  </w:r>
                  <w:r>
                    <w:rPr>
                      <w:rFonts w:hint="default" w:ascii="Times New Roman" w:hAnsi="Times New Roman" w:cs="Times New Roman"/>
                      <w:color w:val="auto"/>
                      <w:sz w:val="21"/>
                      <w:szCs w:val="21"/>
                      <w:vertAlign w:val="superscript"/>
                      <w:lang w:val="en-US" w:eastAsia="zh-CN"/>
                    </w:rPr>
                    <w:t>3</w:t>
                  </w:r>
                </w:p>
              </w:tc>
              <w:tc>
                <w:tcPr>
                  <w:tcW w:w="2096"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适用的合成树脂类型</w:t>
                  </w:r>
                </w:p>
              </w:tc>
              <w:tc>
                <w:tcPr>
                  <w:tcW w:w="1367"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污染物排放监控位置</w:t>
                  </w:r>
                </w:p>
              </w:tc>
              <w:tc>
                <w:tcPr>
                  <w:tcW w:w="1875"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企业边界任何1h大气污染物平均浓度限值mg/m</w:t>
                  </w:r>
                  <w:r>
                    <w:rPr>
                      <w:rFonts w:hint="default" w:ascii="Times New Roman" w:hAnsi="Times New Roman" w:cs="Times New Roman"/>
                      <w:color w:val="auto"/>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77"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188"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非甲烷</w:t>
                  </w:r>
                </w:p>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总烃</w:t>
                  </w:r>
                </w:p>
              </w:tc>
              <w:tc>
                <w:tcPr>
                  <w:tcW w:w="1220"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100</w:t>
                  </w:r>
                </w:p>
              </w:tc>
              <w:tc>
                <w:tcPr>
                  <w:tcW w:w="2096"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所有合成树脂</w:t>
                  </w:r>
                </w:p>
              </w:tc>
              <w:tc>
                <w:tcPr>
                  <w:tcW w:w="1367"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车间或生产设施排气筒</w:t>
                  </w:r>
                </w:p>
              </w:tc>
              <w:tc>
                <w:tcPr>
                  <w:tcW w:w="1875"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665" w:type="dxa"/>
                  <w:gridSpan w:val="2"/>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单位产品非甲烷总烃排放量</w:t>
                  </w:r>
                </w:p>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（kg/t产品）</w:t>
                  </w:r>
                </w:p>
              </w:tc>
              <w:tc>
                <w:tcPr>
                  <w:tcW w:w="1220"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0.5</w:t>
                  </w:r>
                </w:p>
              </w:tc>
              <w:tc>
                <w:tcPr>
                  <w:tcW w:w="2096"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所有合成树脂</w:t>
                  </w:r>
                </w:p>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（有机硅树脂除外）</w:t>
                  </w:r>
                </w:p>
              </w:tc>
              <w:tc>
                <w:tcPr>
                  <w:tcW w:w="1367"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1875" w:type="dxa"/>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822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注：（1）待国家污染物监测方法标准发布后实施。</w:t>
                  </w:r>
                </w:p>
              </w:tc>
            </w:tr>
          </w:tbl>
          <w:p>
            <w:pPr>
              <w:spacing w:line="360" w:lineRule="auto"/>
              <w:ind w:firstLine="420" w:firstLineChars="200"/>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同时，</w:t>
            </w:r>
            <w:r>
              <w:rPr>
                <w:rFonts w:hint="default" w:ascii="Times New Roman" w:hAnsi="Times New Roman" w:cs="Times New Roman"/>
                <w:color w:val="auto"/>
                <w:kern w:val="0"/>
                <w:szCs w:val="21"/>
                <w:lang w:val="en-US" w:eastAsia="zh-CN"/>
              </w:rPr>
              <w:t>拟建</w:t>
            </w:r>
            <w:r>
              <w:rPr>
                <w:rFonts w:hint="default" w:ascii="Times New Roman" w:hAnsi="Times New Roman" w:eastAsia="宋体" w:cs="Times New Roman"/>
                <w:color w:val="auto"/>
                <w:kern w:val="0"/>
                <w:szCs w:val="21"/>
                <w:lang w:val="en-US" w:eastAsia="zh-CN"/>
              </w:rPr>
              <w:t>项目厂区VOCs无组织排放执行《挥发性有机物无组织排放控制标准》（GB 37822</w:t>
            </w:r>
            <w:r>
              <w:rPr>
                <w:rFonts w:hint="default" w:ascii="Times New Roman" w:hAnsi="Times New Roman"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2019）。相关标准相关标准值详见表3-</w:t>
            </w:r>
            <w:r>
              <w:rPr>
                <w:rFonts w:hint="eastAsia" w:cs="Times New Roman"/>
                <w:color w:val="auto"/>
                <w:kern w:val="0"/>
                <w:szCs w:val="21"/>
                <w:lang w:val="en-US" w:eastAsia="zh-CN"/>
              </w:rPr>
              <w:t>9</w:t>
            </w:r>
            <w:r>
              <w:rPr>
                <w:rFonts w:hint="default" w:ascii="Times New Roman" w:hAnsi="Times New Roman" w:eastAsia="宋体" w:cs="Times New Roman"/>
                <w:color w:val="auto"/>
                <w:kern w:val="0"/>
                <w:szCs w:val="21"/>
                <w:lang w:val="en-US" w:eastAsia="zh-CN"/>
              </w:rPr>
              <w:t>。</w:t>
            </w:r>
          </w:p>
          <w:p>
            <w:pPr>
              <w:spacing w:line="360" w:lineRule="auto"/>
              <w:jc w:val="center"/>
              <w:rPr>
                <w:rFonts w:hint="default" w:ascii="Times New Roman" w:hAnsi="Times New Roman" w:cs="Times New Roman"/>
                <w:color w:val="auto"/>
              </w:rPr>
            </w:pPr>
            <w:r>
              <w:rPr>
                <w:rFonts w:hint="default" w:ascii="Times New Roman" w:hAnsi="Times New Roman" w:eastAsia="宋体" w:cs="Times New Roman"/>
                <w:color w:val="auto"/>
                <w:kern w:val="0"/>
                <w:szCs w:val="21"/>
                <w:lang w:val="en-US" w:eastAsia="zh-CN"/>
              </w:rPr>
              <w:t>表3-</w:t>
            </w:r>
            <w:r>
              <w:rPr>
                <w:rFonts w:hint="eastAsia" w:cs="Times New Roman"/>
                <w:color w:val="auto"/>
                <w:kern w:val="0"/>
                <w:szCs w:val="21"/>
                <w:lang w:val="en-US" w:eastAsia="zh-CN"/>
              </w:rPr>
              <w:t>9</w:t>
            </w:r>
            <w:r>
              <w:rPr>
                <w:rFonts w:hint="default" w:ascii="Times New Roman" w:hAnsi="Times New Roman" w:eastAsia="宋体" w:cs="Times New Roman"/>
                <w:color w:val="auto"/>
                <w:kern w:val="0"/>
                <w:szCs w:val="21"/>
                <w:lang w:val="en-US" w:eastAsia="zh-CN"/>
              </w:rPr>
              <w:t xml:space="preserve">  《挥发性有机物无组织排放控制标准》（GB 37822</w:t>
            </w:r>
            <w:r>
              <w:rPr>
                <w:rFonts w:hint="default" w:ascii="Times New Roman" w:hAnsi="Times New Roman"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2019）</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267"/>
              <w:gridCol w:w="1851"/>
              <w:gridCol w:w="2677"/>
              <w:gridCol w:w="129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425" w:hRule="atLeast"/>
                <w:jc w:val="center"/>
              </w:trPr>
              <w:tc>
                <w:tcPr>
                  <w:tcW w:w="11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控制项目</w:t>
                  </w:r>
                </w:p>
              </w:tc>
              <w:tc>
                <w:tcPr>
                  <w:tcW w:w="12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排放限值</w:t>
                  </w:r>
                  <w:r>
                    <w:rPr>
                      <w:rFonts w:hint="default" w:ascii="Times New Roman" w:hAnsi="Times New Roman" w:eastAsia="宋体" w:cs="Times New Roman"/>
                      <w:color w:val="auto"/>
                      <w:sz w:val="21"/>
                      <w:szCs w:val="21"/>
                      <w:lang w:eastAsia="zh-CN"/>
                    </w:rPr>
                    <w:t>mg/m</w:t>
                  </w:r>
                  <w:r>
                    <w:rPr>
                      <w:rFonts w:hint="default" w:ascii="Times New Roman" w:hAnsi="Times New Roman" w:eastAsia="宋体" w:cs="Times New Roman"/>
                      <w:color w:val="auto"/>
                      <w:sz w:val="21"/>
                      <w:szCs w:val="21"/>
                      <w:vertAlign w:val="superscript"/>
                      <w:lang w:eastAsia="zh-CN"/>
                    </w:rPr>
                    <w:t>3</w:t>
                  </w:r>
                </w:p>
              </w:tc>
              <w:tc>
                <w:tcPr>
                  <w:tcW w:w="18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特别排放限值</w:t>
                  </w:r>
                  <w:r>
                    <w:rPr>
                      <w:rFonts w:hint="default" w:ascii="Times New Roman" w:hAnsi="Times New Roman" w:eastAsia="宋体" w:cs="Times New Roman"/>
                      <w:color w:val="auto"/>
                      <w:sz w:val="21"/>
                      <w:szCs w:val="21"/>
                      <w:lang w:eastAsia="zh-CN"/>
                    </w:rPr>
                    <w:t>mg/m</w:t>
                  </w:r>
                  <w:r>
                    <w:rPr>
                      <w:rFonts w:hint="default" w:ascii="Times New Roman" w:hAnsi="Times New Roman" w:eastAsia="宋体" w:cs="Times New Roman"/>
                      <w:color w:val="auto"/>
                      <w:sz w:val="21"/>
                      <w:szCs w:val="21"/>
                      <w:vertAlign w:val="superscript"/>
                      <w:lang w:eastAsia="zh-CN"/>
                    </w:rPr>
                    <w:t>3</w:t>
                  </w:r>
                </w:p>
              </w:tc>
              <w:tc>
                <w:tcPr>
                  <w:tcW w:w="26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 xml:space="preserve">限值含义 </w:t>
                  </w:r>
                </w:p>
              </w:tc>
              <w:tc>
                <w:tcPr>
                  <w:tcW w:w="12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无组织排放监控位置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8" w:hRule="atLeast"/>
                <w:jc w:val="center"/>
              </w:trPr>
              <w:tc>
                <w:tcPr>
                  <w:tcW w:w="114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NMHC</w:t>
                  </w:r>
                </w:p>
              </w:tc>
              <w:tc>
                <w:tcPr>
                  <w:tcW w:w="12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18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26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 xml:space="preserve">监控点处1h平均浓度值 </w:t>
                  </w:r>
                </w:p>
              </w:tc>
              <w:tc>
                <w:tcPr>
                  <w:tcW w:w="12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 xml:space="preserve">在厂房外设置监控点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114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p>
              </w:tc>
              <w:tc>
                <w:tcPr>
                  <w:tcW w:w="12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w:t>
                  </w:r>
                </w:p>
              </w:tc>
              <w:tc>
                <w:tcPr>
                  <w:tcW w:w="18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26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监控点处任意一次浓度值</w:t>
                  </w:r>
                </w:p>
              </w:tc>
              <w:tc>
                <w:tcPr>
                  <w:tcW w:w="12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eastAsia="zh-CN"/>
                    </w:rPr>
                  </w:pPr>
                </w:p>
              </w:tc>
            </w:tr>
          </w:tbl>
          <w:p>
            <w:pPr>
              <w:spacing w:line="360" w:lineRule="auto"/>
              <w:ind w:firstLine="420" w:firstLineChars="200"/>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食堂废气执行《餐饮业大气污染物排放标准》（DB 50/859-2018）</w:t>
            </w:r>
            <w:r>
              <w:rPr>
                <w:rFonts w:hint="eastAsia" w:cs="Times New Roman"/>
                <w:color w:val="auto"/>
                <w:kern w:val="0"/>
                <w:szCs w:val="21"/>
                <w:lang w:val="en-US" w:eastAsia="zh-CN"/>
              </w:rPr>
              <w:t>。</w:t>
            </w:r>
            <w:r>
              <w:rPr>
                <w:rFonts w:hint="default" w:ascii="Times New Roman" w:hAnsi="Times New Roman" w:eastAsia="宋体" w:cs="Times New Roman"/>
                <w:color w:val="auto"/>
                <w:kern w:val="0"/>
                <w:szCs w:val="21"/>
                <w:lang w:val="en-US" w:eastAsia="zh-CN"/>
              </w:rPr>
              <w:t>相关标准相关标准值详见表</w:t>
            </w:r>
            <w:r>
              <w:rPr>
                <w:rFonts w:hint="default" w:ascii="Times New Roman" w:hAnsi="Times New Roman" w:cs="Times New Roman"/>
                <w:color w:val="auto"/>
                <w:kern w:val="0"/>
                <w:szCs w:val="21"/>
                <w:lang w:val="en-US" w:eastAsia="zh-CN"/>
              </w:rPr>
              <w:t>3-</w:t>
            </w:r>
            <w:r>
              <w:rPr>
                <w:rFonts w:hint="eastAsia" w:cs="Times New Roman"/>
                <w:color w:val="auto"/>
                <w:kern w:val="0"/>
                <w:szCs w:val="21"/>
                <w:lang w:val="en-US" w:eastAsia="zh-CN"/>
              </w:rPr>
              <w:t>10。</w:t>
            </w:r>
          </w:p>
          <w:p>
            <w:pPr>
              <w:spacing w:line="360" w:lineRule="auto"/>
              <w:jc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表3-1</w:t>
            </w:r>
            <w:r>
              <w:rPr>
                <w:rFonts w:hint="eastAsia" w:cs="Times New Roman"/>
                <w:color w:val="auto"/>
                <w:kern w:val="0"/>
                <w:szCs w:val="21"/>
                <w:lang w:val="en-US" w:eastAsia="zh-CN"/>
              </w:rPr>
              <w:t xml:space="preserve">0  </w:t>
            </w:r>
            <w:r>
              <w:rPr>
                <w:rFonts w:hint="default" w:ascii="Times New Roman" w:hAnsi="Times New Roman" w:cs="Times New Roman"/>
                <w:color w:val="auto"/>
                <w:kern w:val="0"/>
                <w:szCs w:val="21"/>
                <w:lang w:val="en-US" w:eastAsia="zh-CN"/>
              </w:rPr>
              <w:t>《餐饮业大气污染物排放标准》（DB 50/859-2018</w:t>
            </w:r>
            <w:r>
              <w:rPr>
                <w:rFonts w:hint="eastAsia" w:cs="Times New Roman"/>
                <w:color w:val="auto"/>
                <w:kern w:val="0"/>
                <w:szCs w:val="21"/>
                <w:lang w:val="en-US" w:eastAsia="zh-CN"/>
              </w:rPr>
              <w:t>）</w:t>
            </w:r>
          </w:p>
          <w:tbl>
            <w:tblPr>
              <w:tblStyle w:val="20"/>
              <w:tblW w:w="5000"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2249"/>
              <w:gridCol w:w="27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8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规模</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小型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8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基准灶头数</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8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对应灶头总功率</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1.67</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8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对应排气罩灶面总投影面积（m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1.1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48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经营场所使用面积（m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8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就餐座位数（座）</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净化设施的污染物去除效率（%）</w:t>
                  </w:r>
                </w:p>
              </w:tc>
              <w:tc>
                <w:tcPr>
                  <w:tcW w:w="22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油烟</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p>
              </w:tc>
              <w:tc>
                <w:tcPr>
                  <w:tcW w:w="22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最高允许排放浓度（mg/m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w:t>
                  </w:r>
                </w:p>
              </w:tc>
              <w:tc>
                <w:tcPr>
                  <w:tcW w:w="22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油烟</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p>
              </w:tc>
              <w:tc>
                <w:tcPr>
                  <w:tcW w:w="22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2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3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注：最高允许排放浓度指任何 1 小时浓度均值不得超过的浓度</w:t>
                  </w:r>
                </w:p>
              </w:tc>
            </w:tr>
          </w:tbl>
          <w:p>
            <w:pPr>
              <w:pStyle w:val="46"/>
              <w:numPr>
                <w:ilvl w:val="0"/>
                <w:numId w:val="0"/>
              </w:numPr>
              <w:bidi w:val="0"/>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废水</w:t>
            </w:r>
          </w:p>
          <w:p>
            <w:pPr>
              <w:pStyle w:val="43"/>
              <w:bidi w:val="0"/>
              <w:rPr>
                <w:rFonts w:hint="default" w:ascii="Times New Roman" w:hAnsi="Times New Roman" w:cs="Times New Roman"/>
                <w:color w:val="auto"/>
              </w:rPr>
            </w:pPr>
            <w:r>
              <w:rPr>
                <w:rFonts w:hint="default" w:ascii="Times New Roman" w:hAnsi="Times New Roman" w:cs="Times New Roman"/>
                <w:color w:val="auto"/>
                <w:lang w:val="en-US" w:eastAsia="zh-CN"/>
              </w:rPr>
              <w:t>拟建</w:t>
            </w:r>
            <w:r>
              <w:rPr>
                <w:rFonts w:hint="default" w:ascii="Times New Roman" w:hAnsi="Times New Roman" w:cs="Times New Roman"/>
                <w:color w:val="auto"/>
                <w:lang w:eastAsia="zh-CN"/>
              </w:rPr>
              <w:t>项目排水系统采用雨、污分流制。雨水由厂外截、排水沟引流直接排入项目所在地周边的雨水管网；</w:t>
            </w:r>
            <w:r>
              <w:rPr>
                <w:rFonts w:hint="default" w:ascii="Times New Roman" w:hAnsi="Times New Roman" w:cs="Times New Roman"/>
                <w:color w:val="auto"/>
                <w:lang w:val="en-US" w:eastAsia="zh-CN"/>
              </w:rPr>
              <w:t>拟建</w:t>
            </w:r>
            <w:r>
              <w:rPr>
                <w:rFonts w:hint="default" w:ascii="Times New Roman" w:hAnsi="Times New Roman" w:cs="Times New Roman"/>
                <w:color w:val="auto"/>
                <w:lang w:eastAsia="zh-CN"/>
              </w:rPr>
              <w:t>项目运营期产生的废水主要为</w:t>
            </w:r>
            <w:r>
              <w:rPr>
                <w:rFonts w:hint="eastAsia" w:cs="Times New Roman"/>
                <w:color w:val="auto"/>
                <w:lang w:val="en-US" w:eastAsia="zh-CN"/>
              </w:rPr>
              <w:t>地面清洁废水及</w:t>
            </w:r>
            <w:r>
              <w:rPr>
                <w:rFonts w:hint="default" w:ascii="Times New Roman" w:hAnsi="Times New Roman" w:cs="Times New Roman"/>
                <w:color w:val="auto"/>
                <w:lang w:eastAsia="zh-CN"/>
              </w:rPr>
              <w:t>生活污水</w:t>
            </w:r>
            <w:r>
              <w:rPr>
                <w:rFonts w:hint="eastAsia" w:cs="Times New Roman"/>
                <w:color w:val="auto"/>
                <w:lang w:eastAsia="zh-CN"/>
              </w:rPr>
              <w:t>（</w:t>
            </w:r>
            <w:r>
              <w:rPr>
                <w:rFonts w:hint="eastAsia" w:cs="Times New Roman"/>
                <w:color w:val="auto"/>
                <w:lang w:val="en-US" w:eastAsia="zh-CN"/>
              </w:rPr>
              <w:t>含食堂废水</w:t>
            </w:r>
            <w:r>
              <w:rPr>
                <w:rFonts w:hint="eastAsia" w:cs="Times New Roman"/>
                <w:color w:val="auto"/>
                <w:lang w:eastAsia="zh-CN"/>
              </w:rPr>
              <w:t>）</w:t>
            </w:r>
            <w:r>
              <w:rPr>
                <w:rFonts w:hint="default" w:ascii="Times New Roman" w:hAnsi="Times New Roman" w:cs="Times New Roman"/>
                <w:color w:val="auto"/>
                <w:lang w:eastAsia="zh-CN"/>
              </w:rPr>
              <w:t>，</w:t>
            </w:r>
            <w:r>
              <w:rPr>
                <w:rFonts w:hint="eastAsia" w:cs="Times New Roman"/>
                <w:color w:val="auto"/>
                <w:lang w:val="en-US" w:eastAsia="zh-CN"/>
              </w:rPr>
              <w:t>食堂废水</w:t>
            </w:r>
            <w:r>
              <w:rPr>
                <w:rFonts w:hint="default" w:ascii="Times New Roman" w:hAnsi="Times New Roman" w:cs="Times New Roman"/>
                <w:color w:val="auto"/>
                <w:lang w:eastAsia="zh-CN"/>
              </w:rPr>
              <w:t>经</w:t>
            </w:r>
            <w:r>
              <w:rPr>
                <w:rFonts w:hint="default" w:ascii="Times New Roman" w:hAnsi="Times New Roman" w:cs="Times New Roman"/>
                <w:color w:val="auto"/>
                <w:lang w:val="en-US" w:eastAsia="zh-CN"/>
              </w:rPr>
              <w:t>隔油池</w:t>
            </w:r>
            <w:r>
              <w:rPr>
                <w:rFonts w:hint="eastAsia" w:cs="Times New Roman"/>
                <w:color w:val="auto"/>
                <w:lang w:val="en-US" w:eastAsia="zh-CN"/>
              </w:rPr>
              <w:t>隔油处理后，与其他废水一并进入</w:t>
            </w:r>
            <w:r>
              <w:rPr>
                <w:rFonts w:hint="default" w:ascii="Times New Roman" w:hAnsi="Times New Roman" w:cs="Times New Roman"/>
                <w:color w:val="auto"/>
                <w:lang w:val="en-US" w:eastAsia="zh-CN"/>
              </w:rPr>
              <w:t>生化池</w:t>
            </w:r>
            <w:r>
              <w:rPr>
                <w:rFonts w:hint="default" w:ascii="Times New Roman" w:hAnsi="Times New Roman" w:cs="Times New Roman"/>
                <w:color w:val="auto"/>
                <w:lang w:eastAsia="zh-CN"/>
              </w:rPr>
              <w:t>处理达《污水综合排放标准》（GB8978-1996）三级标准后，进入市政污水管网排入双桥污水处理厂处理达《城镇污水处理厂污染物排放标准》（GB 18918－2002）一级A标准后排入太平河。</w:t>
            </w:r>
            <w:r>
              <w:rPr>
                <w:rFonts w:hint="default" w:ascii="Times New Roman" w:hAnsi="Times New Roman" w:cs="Times New Roman"/>
                <w:color w:val="auto"/>
              </w:rPr>
              <w:t>标准限值详见表</w:t>
            </w:r>
            <w:r>
              <w:rPr>
                <w:rFonts w:hint="default" w:ascii="Times New Roman" w:hAnsi="Times New Roman" w:cs="Times New Roman"/>
                <w:color w:val="auto"/>
                <w:lang w:val="en-US" w:eastAsia="zh-CN"/>
              </w:rPr>
              <w:t>3-1</w:t>
            </w:r>
            <w:r>
              <w:rPr>
                <w:rFonts w:hint="eastAsia" w:cs="Times New Roman"/>
                <w:color w:val="auto"/>
                <w:lang w:val="en-US" w:eastAsia="zh-CN"/>
              </w:rPr>
              <w:t>1</w:t>
            </w:r>
            <w:r>
              <w:rPr>
                <w:rFonts w:hint="default" w:ascii="Times New Roman" w:hAnsi="Times New Roman" w:cs="Times New Roman"/>
                <w:color w:val="auto"/>
              </w:rPr>
              <w:t>。</w:t>
            </w:r>
          </w:p>
          <w:p>
            <w:pPr>
              <w:pStyle w:val="44"/>
              <w:bidi w:val="0"/>
              <w:rPr>
                <w:rFonts w:hint="default" w:ascii="Times New Roman" w:hAnsi="Times New Roman" w:cs="Times New Roman"/>
                <w:color w:val="auto"/>
              </w:rPr>
            </w:pPr>
            <w:r>
              <w:rPr>
                <w:rFonts w:hint="default" w:ascii="Times New Roman" w:hAnsi="Times New Roman" w:cs="Times New Roman"/>
                <w:color w:val="auto"/>
                <w:lang w:eastAsia="zh-CN"/>
              </w:rPr>
              <w:t>表</w:t>
            </w:r>
            <w:r>
              <w:rPr>
                <w:rFonts w:hint="default" w:ascii="Times New Roman" w:hAnsi="Times New Roman" w:cs="Times New Roman"/>
                <w:color w:val="auto"/>
                <w:lang w:val="en-US" w:eastAsia="zh-CN"/>
              </w:rPr>
              <w:t>3-1</w:t>
            </w:r>
            <w:r>
              <w:rPr>
                <w:rFonts w:hint="eastAsia" w:cs="Times New Roman"/>
                <w:color w:val="auto"/>
                <w:lang w:val="en-US" w:eastAsia="zh-CN"/>
              </w:rPr>
              <w:t>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污水综合排放标准</w:t>
            </w:r>
            <w:r>
              <w:rPr>
                <w:rFonts w:hint="eastAsia" w:cs="Times New Roman"/>
                <w:color w:val="auto"/>
                <w:lang w:val="en-US" w:eastAsia="zh-CN"/>
              </w:rPr>
              <w:t>表</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单位：mg/L</w:t>
            </w:r>
          </w:p>
          <w:tbl>
            <w:tblPr>
              <w:tblStyle w:val="19"/>
              <w:tblW w:w="831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75"/>
              <w:gridCol w:w="750"/>
              <w:gridCol w:w="750"/>
              <w:gridCol w:w="816"/>
              <w:gridCol w:w="805"/>
              <w:gridCol w:w="840"/>
              <w:gridCol w:w="10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69"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执行标准</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pH</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COD</w:t>
                  </w:r>
                </w:p>
              </w:tc>
              <w:tc>
                <w:tcPr>
                  <w:tcW w:w="49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BOD</w:t>
                  </w:r>
                  <w:r>
                    <w:rPr>
                      <w:rFonts w:hint="default" w:ascii="Times New Roman" w:hAnsi="Times New Roman" w:eastAsia="宋体" w:cs="Times New Roman"/>
                      <w:color w:val="auto"/>
                      <w:sz w:val="21"/>
                      <w:szCs w:val="21"/>
                      <w:vertAlign w:val="subscript"/>
                      <w:lang w:val="en-US" w:eastAsia="zh-CN"/>
                    </w:rPr>
                    <w:t>5</w:t>
                  </w:r>
                </w:p>
              </w:tc>
              <w:tc>
                <w:tcPr>
                  <w:tcW w:w="484"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SS</w:t>
                  </w:r>
                </w:p>
              </w:tc>
              <w:tc>
                <w:tcPr>
                  <w:tcW w:w="505"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NH</w:t>
                  </w:r>
                  <w:r>
                    <w:rPr>
                      <w:rFonts w:hint="default" w:ascii="Times New Roman" w:hAnsi="Times New Roman" w:eastAsia="宋体" w:cs="Times New Roman"/>
                      <w:color w:val="auto"/>
                      <w:sz w:val="21"/>
                      <w:szCs w:val="21"/>
                      <w:vertAlign w:val="subscript"/>
                      <w:lang w:val="en-US" w:eastAsia="zh-CN"/>
                    </w:rPr>
                    <w:t>3</w:t>
                  </w:r>
                  <w:r>
                    <w:rPr>
                      <w:rFonts w:hint="default" w:ascii="Times New Roman" w:hAnsi="Times New Roman" w:eastAsia="宋体" w:cs="Times New Roman"/>
                      <w:color w:val="auto"/>
                      <w:sz w:val="21"/>
                      <w:szCs w:val="21"/>
                      <w:lang w:val="en-US" w:eastAsia="zh-CN"/>
                    </w:rPr>
                    <w:t>-N</w:t>
                  </w:r>
                </w:p>
              </w:tc>
              <w:tc>
                <w:tcPr>
                  <w:tcW w:w="64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动植物油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69"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污水综合排放标准》 （GB8978-1996）三级标准</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w:t>
                  </w:r>
                </w:p>
              </w:tc>
              <w:tc>
                <w:tcPr>
                  <w:tcW w:w="49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300</w:t>
                  </w:r>
                </w:p>
              </w:tc>
              <w:tc>
                <w:tcPr>
                  <w:tcW w:w="484"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400</w:t>
                  </w:r>
                </w:p>
              </w:tc>
              <w:tc>
                <w:tcPr>
                  <w:tcW w:w="505"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w:t>
                  </w:r>
                </w:p>
              </w:tc>
              <w:tc>
                <w:tcPr>
                  <w:tcW w:w="64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69"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《城镇污水处理厂污染物排放标准》（GB18918-2002）一级A标</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w:t>
                  </w:r>
                </w:p>
              </w:tc>
              <w:tc>
                <w:tcPr>
                  <w:tcW w:w="490"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484"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505"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64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NH</w:t>
                  </w:r>
                  <w:r>
                    <w:rPr>
                      <w:rFonts w:hint="default" w:ascii="Times New Roman" w:hAnsi="Times New Roman" w:eastAsia="宋体" w:cs="Times New Roman"/>
                      <w:color w:val="auto"/>
                      <w:sz w:val="21"/>
                      <w:szCs w:val="21"/>
                      <w:vertAlign w:val="subscript"/>
                      <w:lang w:val="en-US" w:eastAsia="zh-CN"/>
                    </w:rPr>
                    <w:t>3</w:t>
                  </w:r>
                  <w:r>
                    <w:rPr>
                      <w:rFonts w:hint="default" w:ascii="Times New Roman" w:hAnsi="Times New Roman" w:eastAsia="宋体" w:cs="Times New Roman"/>
                      <w:color w:val="auto"/>
                      <w:sz w:val="21"/>
                      <w:szCs w:val="21"/>
                      <w:lang w:val="en-US" w:eastAsia="zh-CN"/>
                    </w:rPr>
                    <w:t>-N 执行《污水排入城镇下水道水质标准》（GB/T31962-2015）</w:t>
                  </w:r>
                </w:p>
              </w:tc>
            </w:tr>
          </w:tbl>
          <w:p>
            <w:pPr>
              <w:pStyle w:val="46"/>
              <w:numPr>
                <w:ilvl w:val="0"/>
                <w:numId w:val="0"/>
              </w:numPr>
              <w:bidi w:val="0"/>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噪声</w:t>
            </w:r>
          </w:p>
          <w:p>
            <w:pPr>
              <w:pStyle w:val="43"/>
              <w:bidi w:val="0"/>
              <w:rPr>
                <w:rFonts w:hint="default" w:ascii="Times New Roman" w:hAnsi="Times New Roman" w:cs="Times New Roman"/>
                <w:color w:val="auto"/>
              </w:rPr>
            </w:pPr>
            <w:r>
              <w:rPr>
                <w:rFonts w:hint="default" w:ascii="Times New Roman" w:hAnsi="Times New Roman" w:cs="Times New Roman"/>
                <w:color w:val="auto"/>
              </w:rPr>
              <w:t>施工期噪声执行《建筑施工场界环境噪声排放标准》（GB12523-2011）</w:t>
            </w:r>
            <w:r>
              <w:rPr>
                <w:rFonts w:hint="default" w:ascii="Times New Roman" w:hAnsi="Times New Roman" w:cs="Times New Roman"/>
                <w:color w:val="auto"/>
                <w:lang w:eastAsia="zh-CN"/>
              </w:rPr>
              <w:t>；运营期</w:t>
            </w:r>
            <w:r>
              <w:rPr>
                <w:rFonts w:hint="default" w:ascii="Times New Roman" w:hAnsi="Times New Roman" w:cs="Times New Roman"/>
                <w:color w:val="auto"/>
              </w:rPr>
              <w:t>噪声执行《工业企业厂界环境噪声排放标准》（GB12348-2008）</w:t>
            </w:r>
            <w:r>
              <w:rPr>
                <w:rFonts w:hint="default" w:ascii="Times New Roman" w:hAnsi="Times New Roman" w:cs="Times New Roman"/>
                <w:color w:val="auto"/>
                <w:lang w:val="en-US" w:eastAsia="zh-CN"/>
              </w:rPr>
              <w:t>3</w:t>
            </w:r>
            <w:r>
              <w:rPr>
                <w:rFonts w:hint="default" w:ascii="Times New Roman" w:hAnsi="Times New Roman" w:cs="Times New Roman"/>
                <w:color w:val="auto"/>
              </w:rPr>
              <w:t>类标准</w:t>
            </w:r>
            <w:r>
              <w:rPr>
                <w:rFonts w:hint="eastAsia" w:cs="Times New Roman"/>
                <w:color w:val="auto"/>
                <w:lang w:eastAsia="zh-CN"/>
              </w:rPr>
              <w:t>。</w:t>
            </w:r>
            <w:r>
              <w:rPr>
                <w:rFonts w:hint="default" w:ascii="Times New Roman" w:hAnsi="Times New Roman" w:cs="Times New Roman"/>
                <w:color w:val="auto"/>
              </w:rPr>
              <w:t>标准限值详见表</w:t>
            </w:r>
            <w:r>
              <w:rPr>
                <w:rFonts w:hint="default" w:ascii="Times New Roman" w:hAnsi="Times New Roman" w:cs="Times New Roman"/>
                <w:color w:val="auto"/>
                <w:lang w:val="en-US" w:eastAsia="zh-CN"/>
              </w:rPr>
              <w:t>3-1</w:t>
            </w:r>
            <w:r>
              <w:rPr>
                <w:rFonts w:hint="eastAsia" w:cs="Times New Roman"/>
                <w:color w:val="auto"/>
                <w:lang w:val="en-US" w:eastAsia="zh-CN"/>
              </w:rPr>
              <w:t>2</w:t>
            </w:r>
            <w:r>
              <w:rPr>
                <w:rFonts w:hint="default" w:ascii="Times New Roman" w:hAnsi="Times New Roman" w:cs="Times New Roman"/>
                <w:color w:val="auto"/>
                <w:lang w:val="en-US" w:eastAsia="zh-CN"/>
              </w:rPr>
              <w:t>~表3-1</w:t>
            </w:r>
            <w:r>
              <w:rPr>
                <w:rFonts w:hint="eastAsia" w:cs="Times New Roman"/>
                <w:color w:val="auto"/>
                <w:lang w:val="en-US" w:eastAsia="zh-CN"/>
              </w:rPr>
              <w:t>3</w:t>
            </w:r>
            <w:r>
              <w:rPr>
                <w:rFonts w:hint="default" w:ascii="Times New Roman" w:hAnsi="Times New Roman" w:cs="Times New Roman"/>
                <w:color w:val="auto"/>
              </w:rPr>
              <w:t>。</w:t>
            </w: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rPr>
              <w:t>表</w:t>
            </w:r>
            <w:r>
              <w:rPr>
                <w:rFonts w:hint="default" w:ascii="Times New Roman" w:hAnsi="Times New Roman" w:cs="Times New Roman"/>
                <w:color w:val="auto"/>
                <w:lang w:val="en-US" w:eastAsia="zh-CN"/>
              </w:rPr>
              <w:t>3-1</w:t>
            </w:r>
            <w:r>
              <w:rPr>
                <w:rFonts w:hint="eastAsia" w:cs="Times New Roman"/>
                <w:color w:val="auto"/>
                <w:lang w:val="en-US" w:eastAsia="zh-CN"/>
              </w:rPr>
              <w:t>2</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建筑施工场界环境噪声排放标准  单位：dB</w:t>
            </w:r>
            <w:r>
              <w:rPr>
                <w:rFonts w:hint="default" w:ascii="Times New Roman" w:hAnsi="Times New Roman" w:cs="Times New Roman"/>
                <w:color w:val="auto"/>
                <w:lang w:eastAsia="zh-CN"/>
              </w:rPr>
              <w:t>（</w:t>
            </w:r>
            <w:r>
              <w:rPr>
                <w:rFonts w:hint="default" w:ascii="Times New Roman" w:hAnsi="Times New Roman" w:cs="Times New Roman"/>
                <w:color w:val="auto"/>
              </w:rPr>
              <w:t>A</w:t>
            </w:r>
            <w:r>
              <w:rPr>
                <w:rFonts w:hint="default" w:ascii="Times New Roman" w:hAnsi="Times New Roman" w:cs="Times New Roman"/>
                <w:color w:val="auto"/>
                <w:lang w:eastAsia="zh-CN"/>
              </w:rPr>
              <w:t>）</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41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昼间</w:t>
                  </w:r>
                </w:p>
              </w:tc>
              <w:tc>
                <w:tcPr>
                  <w:tcW w:w="2500" w:type="pc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70</w:t>
                  </w:r>
                </w:p>
              </w:tc>
              <w:tc>
                <w:tcPr>
                  <w:tcW w:w="2500" w:type="pc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55</w:t>
                  </w:r>
                </w:p>
              </w:tc>
            </w:tr>
          </w:tbl>
          <w:p>
            <w:pPr>
              <w:pStyle w:val="44"/>
              <w:bidi w:val="0"/>
              <w:rPr>
                <w:rFonts w:hint="default" w:ascii="Times New Roman" w:hAnsi="Times New Roman" w:cs="Times New Roman"/>
                <w:color w:val="auto"/>
                <w:lang w:eastAsia="zh-CN"/>
              </w:rPr>
            </w:pPr>
            <w:r>
              <w:rPr>
                <w:rFonts w:hint="default" w:ascii="Times New Roman" w:hAnsi="Times New Roman" w:cs="Times New Roman"/>
                <w:color w:val="auto"/>
              </w:rPr>
              <w:t>表</w:t>
            </w:r>
            <w:r>
              <w:rPr>
                <w:rFonts w:hint="default" w:ascii="Times New Roman" w:hAnsi="Times New Roman" w:cs="Times New Roman"/>
                <w:color w:val="auto"/>
                <w:lang w:val="en-US" w:eastAsia="zh-CN"/>
              </w:rPr>
              <w:t>3-1</w:t>
            </w:r>
            <w:r>
              <w:rPr>
                <w:rFonts w:hint="eastAsia" w:cs="Times New Roman"/>
                <w:color w:val="auto"/>
                <w:lang w:val="en-US" w:eastAsia="zh-CN"/>
              </w:rPr>
              <w:t>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工业企业厂界环境噪声排放标准  单位：dB</w:t>
            </w:r>
            <w:r>
              <w:rPr>
                <w:rFonts w:hint="default" w:ascii="Times New Roman" w:hAnsi="Times New Roman" w:cs="Times New Roman"/>
                <w:color w:val="auto"/>
                <w:lang w:eastAsia="zh-CN"/>
              </w:rPr>
              <w:t>（</w:t>
            </w:r>
            <w:r>
              <w:rPr>
                <w:rFonts w:hint="default" w:ascii="Times New Roman" w:hAnsi="Times New Roman" w:cs="Times New Roman"/>
                <w:color w:val="auto"/>
              </w:rPr>
              <w:t>A</w:t>
            </w:r>
            <w:r>
              <w:rPr>
                <w:rFonts w:hint="default" w:ascii="Times New Roman" w:hAnsi="Times New Roman" w:cs="Times New Roman"/>
                <w:color w:val="auto"/>
                <w:lang w:eastAsia="zh-CN"/>
              </w:rPr>
              <w:t>）</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97"/>
              <w:gridCol w:w="2413"/>
              <w:gridCol w:w="25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2" w:type="pct"/>
                  <w:vMerge w:val="restar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类别</w:t>
                  </w:r>
                </w:p>
              </w:tc>
              <w:tc>
                <w:tcPr>
                  <w:tcW w:w="2997" w:type="pct"/>
                  <w:gridSpan w:val="2"/>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2" w:type="pct"/>
                  <w:vMerge w:val="continue"/>
                  <w:tcBorders>
                    <w:tl2br w:val="nil"/>
                    <w:tr2bl w:val="nil"/>
                  </w:tcBorders>
                  <w:noWrap w:val="0"/>
                  <w:vAlign w:val="center"/>
                </w:tcPr>
                <w:p>
                  <w:pPr>
                    <w:pStyle w:val="45"/>
                    <w:bidi w:val="0"/>
                    <w:rPr>
                      <w:rFonts w:hint="default" w:ascii="Times New Roman" w:hAnsi="Times New Roman" w:cs="Times New Roman"/>
                      <w:color w:val="auto"/>
                    </w:rPr>
                  </w:pPr>
                </w:p>
              </w:tc>
              <w:tc>
                <w:tcPr>
                  <w:tcW w:w="1465" w:type="pc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昼间</w:t>
                  </w:r>
                </w:p>
              </w:tc>
              <w:tc>
                <w:tcPr>
                  <w:tcW w:w="1531" w:type="pc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2" w:type="pct"/>
                  <w:tcBorders>
                    <w:tl2br w:val="nil"/>
                    <w:tr2bl w:val="nil"/>
                  </w:tcBorders>
                  <w:noWrap w:val="0"/>
                  <w:vAlign w:val="center"/>
                </w:tcPr>
                <w:p>
                  <w:pPr>
                    <w:pStyle w:val="45"/>
                    <w:bidi w:val="0"/>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类</w:t>
                  </w:r>
                </w:p>
              </w:tc>
              <w:tc>
                <w:tcPr>
                  <w:tcW w:w="1465" w:type="pct"/>
                  <w:tcBorders>
                    <w:tl2br w:val="nil"/>
                    <w:tr2bl w:val="nil"/>
                  </w:tcBorders>
                  <w:noWrap w:val="0"/>
                  <w:vAlign w:val="center"/>
                </w:tcPr>
                <w:p>
                  <w:pPr>
                    <w:pStyle w:val="45"/>
                    <w:bidi w:val="0"/>
                    <w:rPr>
                      <w:rFonts w:hint="default" w:ascii="Times New Roman" w:hAnsi="Times New Roman" w:cs="Times New Roman"/>
                      <w:color w:val="auto"/>
                      <w:lang w:eastAsia="zh-CN"/>
                    </w:rPr>
                  </w:pPr>
                  <w:r>
                    <w:rPr>
                      <w:rFonts w:hint="default" w:ascii="Times New Roman" w:hAnsi="Times New Roman" w:cs="Times New Roman"/>
                      <w:color w:val="auto"/>
                    </w:rPr>
                    <w:t>6</w:t>
                  </w:r>
                  <w:r>
                    <w:rPr>
                      <w:rFonts w:hint="default" w:ascii="Times New Roman" w:hAnsi="Times New Roman" w:cs="Times New Roman"/>
                      <w:color w:val="auto"/>
                      <w:lang w:val="en-US" w:eastAsia="zh-CN"/>
                    </w:rPr>
                    <w:t>5</w:t>
                  </w:r>
                </w:p>
              </w:tc>
              <w:tc>
                <w:tcPr>
                  <w:tcW w:w="1531" w:type="pct"/>
                  <w:tcBorders>
                    <w:tl2br w:val="nil"/>
                    <w:tr2bl w:val="nil"/>
                  </w:tcBorders>
                  <w:noWrap w:val="0"/>
                  <w:vAlign w:val="center"/>
                </w:tcPr>
                <w:p>
                  <w:pPr>
                    <w:pStyle w:val="45"/>
                    <w:bidi w:val="0"/>
                    <w:rPr>
                      <w:rFonts w:hint="default" w:ascii="Times New Roman" w:hAnsi="Times New Roman" w:cs="Times New Roman"/>
                      <w:color w:val="auto"/>
                      <w:lang w:eastAsia="zh-CN"/>
                    </w:rPr>
                  </w:pPr>
                  <w:r>
                    <w:rPr>
                      <w:rFonts w:hint="default" w:ascii="Times New Roman" w:hAnsi="Times New Roman" w:cs="Times New Roman"/>
                      <w:color w:val="auto"/>
                    </w:rPr>
                    <w:t>5</w:t>
                  </w:r>
                  <w:r>
                    <w:rPr>
                      <w:rFonts w:hint="default" w:ascii="Times New Roman" w:hAnsi="Times New Roman" w:cs="Times New Roman"/>
                      <w:color w:val="auto"/>
                      <w:lang w:val="en-US" w:eastAsia="zh-CN"/>
                    </w:rPr>
                    <w:t>5</w:t>
                  </w:r>
                </w:p>
              </w:tc>
            </w:tr>
          </w:tbl>
          <w:p>
            <w:pPr>
              <w:pStyle w:val="46"/>
              <w:numPr>
                <w:ilvl w:val="0"/>
                <w:numId w:val="0"/>
              </w:num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4.固体废物</w:t>
            </w:r>
          </w:p>
          <w:p>
            <w:pPr>
              <w:pStyle w:val="43"/>
              <w:bidi w:val="0"/>
              <w:rPr>
                <w:rFonts w:hint="default" w:ascii="Times New Roman" w:hAnsi="Times New Roman" w:cs="Times New Roman"/>
                <w:color w:val="auto"/>
              </w:rPr>
            </w:pPr>
            <w:r>
              <w:rPr>
                <w:rFonts w:hint="default" w:ascii="Times New Roman" w:hAnsi="Times New Roman" w:cs="Times New Roman"/>
                <w:color w:val="auto"/>
                <w:lang w:val="en-US" w:eastAsia="zh-CN"/>
              </w:rPr>
              <w:t>危险废物在厂内的贮存执行《危险废物贮存污染控制标准》（GB18597-2001）以及2013年修改单中相关要求。一般工业固体废物执行《一般工业固体废物贮存和填埋控制标准》（GB18599-2020）中相关要求。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84" w:type="dxa"/>
            <w:noWrap w:val="0"/>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总量</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控制</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指标</w:t>
            </w:r>
          </w:p>
        </w:tc>
        <w:tc>
          <w:tcPr>
            <w:tcW w:w="8449" w:type="dxa"/>
            <w:noWrap w:val="0"/>
            <w:vAlign w:val="center"/>
          </w:tcPr>
          <w:p>
            <w:pPr>
              <w:pStyle w:val="43"/>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无。</w:t>
            </w:r>
          </w:p>
        </w:tc>
      </w:tr>
    </w:tbl>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6"/>
          <w:szCs w:val="36"/>
        </w:rPr>
        <w:br w:type="page"/>
      </w:r>
      <w:r>
        <w:rPr>
          <w:rFonts w:hint="default" w:ascii="Times New Roman" w:hAnsi="Times New Roman" w:eastAsia="黑体" w:cs="Times New Roman"/>
          <w:snapToGrid w:val="0"/>
          <w:color w:val="auto"/>
          <w:sz w:val="30"/>
          <w:szCs w:val="30"/>
        </w:rPr>
        <w:t>四、主要环境影响和保护措施</w:t>
      </w:r>
    </w:p>
    <w:tbl>
      <w:tblPr>
        <w:tblStyle w:val="19"/>
        <w:tblW w:w="91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noWrap w:val="0"/>
            <w:tcMar>
              <w:left w:w="28" w:type="dxa"/>
              <w:right w:w="28" w:type="dxa"/>
            </w:tcMar>
            <w:vAlign w:val="center"/>
          </w:tcPr>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w:t>
            </w:r>
          </w:p>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期环</w:t>
            </w:r>
          </w:p>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境保</w:t>
            </w:r>
          </w:p>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护措</w:t>
            </w:r>
          </w:p>
          <w:p>
            <w:pPr>
              <w:pStyle w:val="16"/>
              <w:adjustRightInd w:val="0"/>
              <w:snapToGrid w:val="0"/>
              <w:spacing w:before="0" w:beforeAutospacing="0" w:after="0" w:afterAutospacing="0"/>
              <w:jc w:val="center"/>
              <w:rPr>
                <w:rFonts w:hint="default" w:ascii="Times New Roman" w:hAnsi="Times New Roman" w:cs="Times New Roman"/>
                <w:bCs/>
                <w:color w:val="auto"/>
                <w:kern w:val="2"/>
                <w:sz w:val="21"/>
                <w:szCs w:val="21"/>
              </w:rPr>
            </w:pPr>
            <w:r>
              <w:rPr>
                <w:rFonts w:hint="default" w:ascii="Times New Roman" w:hAnsi="Times New Roman" w:cs="Times New Roman"/>
                <w:color w:val="auto"/>
                <w:kern w:val="2"/>
                <w:sz w:val="21"/>
                <w:szCs w:val="21"/>
              </w:rPr>
              <w:t>施</w:t>
            </w:r>
          </w:p>
        </w:tc>
        <w:tc>
          <w:tcPr>
            <w:tcW w:w="84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auto"/>
                <w:lang w:val="en-US" w:eastAsia="zh-CN"/>
              </w:rPr>
              <w:t>拟建</w:t>
            </w:r>
            <w:r>
              <w:rPr>
                <w:rFonts w:hint="default" w:ascii="Times New Roman" w:hAnsi="Times New Roman" w:cs="Times New Roman"/>
                <w:color w:val="auto"/>
              </w:rPr>
              <w:t>项目租赁</w:t>
            </w:r>
            <w:r>
              <w:rPr>
                <w:rFonts w:hint="eastAsia" w:ascii="Times New Roman" w:hAnsi="Times New Roman" w:cs="Times New Roman"/>
                <w:sz w:val="21"/>
                <w:szCs w:val="21"/>
                <w:lang w:val="en-US" w:eastAsia="zh-CN"/>
              </w:rPr>
              <w:t>重庆联航工具制造有限公司</w:t>
            </w:r>
            <w:r>
              <w:rPr>
                <w:rFonts w:hint="default" w:ascii="Times New Roman" w:hAnsi="Times New Roman" w:cs="Times New Roman"/>
                <w:color w:val="auto"/>
                <w:lang w:val="en-US" w:eastAsia="zh-CN"/>
              </w:rPr>
              <w:t>位</w:t>
            </w:r>
            <w:r>
              <w:rPr>
                <w:rFonts w:hint="default" w:cs="Times New Roman"/>
                <w:color w:val="auto"/>
                <w:lang w:val="en-US" w:eastAsia="zh-CN"/>
              </w:rPr>
              <w:t>于重庆市双桥经济技术开发区通桥街道毛店村5组68号</w:t>
            </w:r>
            <w:r>
              <w:rPr>
                <w:rFonts w:hint="eastAsia" w:cs="Times New Roman"/>
                <w:color w:val="auto"/>
                <w:lang w:val="en-US" w:eastAsia="zh-CN"/>
              </w:rPr>
              <w:t>（</w:t>
            </w:r>
            <w:r>
              <w:rPr>
                <w:rFonts w:hint="default" w:cs="Times New Roman"/>
                <w:color w:val="auto"/>
                <w:lang w:val="en-US" w:eastAsia="zh-CN"/>
              </w:rPr>
              <w:t>重庆市大足区双桥工业园区</w:t>
            </w:r>
            <w:r>
              <w:rPr>
                <w:rFonts w:hint="eastAsia" w:cs="Times New Roman"/>
                <w:color w:val="auto"/>
                <w:lang w:val="en-US" w:eastAsia="zh-CN"/>
              </w:rPr>
              <w:t>）</w:t>
            </w:r>
            <w:r>
              <w:rPr>
                <w:rFonts w:hint="default" w:ascii="Times New Roman" w:hAnsi="Times New Roman" w:cs="Times New Roman"/>
                <w:color w:val="auto"/>
              </w:rPr>
              <w:t>的现有闲置厂房，无需进行土建工程，</w:t>
            </w:r>
            <w:r>
              <w:rPr>
                <w:rFonts w:hint="default" w:ascii="Times New Roman" w:hAnsi="Times New Roman" w:eastAsia="宋体" w:cs="Times New Roman"/>
                <w:color w:val="000000"/>
                <w:kern w:val="2"/>
                <w:sz w:val="21"/>
                <w:szCs w:val="21"/>
                <w:highlight w:val="none"/>
                <w:lang w:val="en-US" w:eastAsia="zh-CN" w:bidi="ar-SA"/>
              </w:rPr>
              <w:t>施工期不涉及土地平整、开挖等大规模施工，仅进行设备安装和部分房屋结构的改造，因此施工期环境影响仅做简要分析，</w:t>
            </w:r>
            <w:r>
              <w:rPr>
                <w:rFonts w:hint="default" w:ascii="Times New Roman" w:hAnsi="Times New Roman" w:cs="Times New Roman"/>
                <w:color w:val="000000"/>
                <w:kern w:val="2"/>
                <w:sz w:val="21"/>
                <w:szCs w:val="21"/>
                <w:highlight w:val="none"/>
                <w:lang w:val="en-US" w:eastAsia="zh-CN" w:bidi="ar-SA"/>
              </w:rPr>
              <w:t>拟建</w:t>
            </w:r>
            <w:r>
              <w:rPr>
                <w:rFonts w:hint="default" w:ascii="Times New Roman" w:hAnsi="Times New Roman" w:eastAsia="宋体" w:cs="Times New Roman"/>
                <w:color w:val="000000"/>
                <w:kern w:val="2"/>
                <w:sz w:val="21"/>
                <w:szCs w:val="21"/>
                <w:highlight w:val="none"/>
                <w:lang w:val="en-US" w:eastAsia="zh-CN" w:bidi="ar-SA"/>
              </w:rPr>
              <w:t>项目所用的生产设备数量较少，安装程序简单，所用时间较短。施工期产生少量废水、废气、噪声、固废。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废气：装修及设备安装过程有少量扬尘产生。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0000FF"/>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废水：无施工废水。主要为施工人员产生的少量生活污水，施工人数约10人，每人每天用水量约80L，污水产污系数按0.9计，正常施工过程中生活污水产生量约0.72m</w:t>
            </w:r>
            <w:r>
              <w:rPr>
                <w:rFonts w:hint="default" w:ascii="Times New Roman" w:hAnsi="Times New Roman" w:eastAsia="宋体" w:cs="Times New Roman"/>
                <w:color w:val="000000"/>
                <w:kern w:val="2"/>
                <w:sz w:val="21"/>
                <w:szCs w:val="21"/>
                <w:highlight w:val="none"/>
                <w:vertAlign w:val="superscript"/>
                <w:lang w:val="en-US" w:eastAsia="zh-CN" w:bidi="ar-SA"/>
              </w:rPr>
              <w:t>3</w:t>
            </w:r>
            <w:r>
              <w:rPr>
                <w:rFonts w:hint="default" w:ascii="Times New Roman" w:hAnsi="Times New Roman" w:eastAsia="宋体" w:cs="Times New Roman"/>
                <w:color w:val="000000"/>
                <w:kern w:val="2"/>
                <w:sz w:val="21"/>
                <w:szCs w:val="21"/>
                <w:highlight w:val="none"/>
                <w:lang w:val="en-US" w:eastAsia="zh-CN" w:bidi="ar-SA"/>
              </w:rPr>
              <w:t>/d（本项目施工期约3个月）。</w:t>
            </w:r>
            <w:r>
              <w:rPr>
                <w:rFonts w:hint="default" w:ascii="Times New Roman" w:hAnsi="Times New Roman" w:eastAsia="宋体" w:cs="Times New Roman"/>
                <w:color w:val="0000FF"/>
                <w:kern w:val="2"/>
                <w:sz w:val="21"/>
                <w:szCs w:val="21"/>
                <w:highlight w:val="none"/>
                <w:lang w:val="en-US" w:eastAsia="zh-CN" w:bidi="ar-SA"/>
              </w:rPr>
              <w:t>生活污水主要污染物为COD、BOD</w:t>
            </w:r>
            <w:r>
              <w:rPr>
                <w:rFonts w:hint="default" w:ascii="Times New Roman" w:hAnsi="Times New Roman" w:eastAsia="宋体" w:cs="Times New Roman"/>
                <w:color w:val="0000FF"/>
                <w:kern w:val="2"/>
                <w:sz w:val="21"/>
                <w:szCs w:val="21"/>
                <w:highlight w:val="none"/>
                <w:vertAlign w:val="subscript"/>
                <w:lang w:val="en-US" w:eastAsia="zh-CN" w:bidi="ar-SA"/>
              </w:rPr>
              <w:t>5</w:t>
            </w:r>
            <w:r>
              <w:rPr>
                <w:rFonts w:hint="default" w:ascii="Times New Roman" w:hAnsi="Times New Roman" w:eastAsia="宋体" w:cs="Times New Roman"/>
                <w:color w:val="0000FF"/>
                <w:kern w:val="2"/>
                <w:sz w:val="21"/>
                <w:szCs w:val="21"/>
                <w:highlight w:val="none"/>
                <w:lang w:val="en-US" w:eastAsia="zh-CN" w:bidi="ar-SA"/>
              </w:rPr>
              <w:t>、SS、NH</w:t>
            </w:r>
            <w:r>
              <w:rPr>
                <w:rFonts w:hint="default" w:ascii="Times New Roman" w:hAnsi="Times New Roman" w:eastAsia="宋体" w:cs="Times New Roman"/>
                <w:color w:val="0000FF"/>
                <w:kern w:val="2"/>
                <w:sz w:val="21"/>
                <w:szCs w:val="21"/>
                <w:highlight w:val="none"/>
                <w:vertAlign w:val="subscript"/>
                <w:lang w:val="en-US" w:eastAsia="zh-CN" w:bidi="ar-SA"/>
              </w:rPr>
              <w:t>3</w:t>
            </w:r>
            <w:r>
              <w:rPr>
                <w:rFonts w:hint="default" w:ascii="Times New Roman" w:hAnsi="Times New Roman" w:eastAsia="宋体" w:cs="Times New Roman"/>
                <w:color w:val="0000FF"/>
                <w:kern w:val="2"/>
                <w:sz w:val="21"/>
                <w:szCs w:val="21"/>
                <w:highlight w:val="none"/>
                <w:lang w:val="en-US" w:eastAsia="zh-CN" w:bidi="ar-SA"/>
              </w:rPr>
              <w:t>-N等，其浓度约为</w:t>
            </w:r>
            <w:r>
              <w:rPr>
                <w:rFonts w:hint="eastAsia" w:cs="Times New Roman"/>
                <w:color w:val="0000FF"/>
                <w:kern w:val="2"/>
                <w:sz w:val="21"/>
                <w:szCs w:val="21"/>
                <w:highlight w:val="none"/>
                <w:lang w:val="en-US" w:eastAsia="zh-CN" w:bidi="ar-SA"/>
              </w:rPr>
              <w:t>5</w:t>
            </w:r>
            <w:r>
              <w:rPr>
                <w:rFonts w:hint="default" w:ascii="Times New Roman" w:hAnsi="Times New Roman" w:eastAsia="宋体" w:cs="Times New Roman"/>
                <w:color w:val="0000FF"/>
                <w:kern w:val="2"/>
                <w:sz w:val="21"/>
                <w:szCs w:val="21"/>
                <w:highlight w:val="none"/>
                <w:lang w:val="en-US" w:eastAsia="zh-CN" w:bidi="ar-SA"/>
              </w:rPr>
              <w:t>00mg/L、</w:t>
            </w:r>
            <w:r>
              <w:rPr>
                <w:rFonts w:hint="eastAsia" w:cs="Times New Roman"/>
                <w:color w:val="0000FF"/>
                <w:kern w:val="2"/>
                <w:sz w:val="21"/>
                <w:szCs w:val="21"/>
                <w:highlight w:val="none"/>
                <w:lang w:val="en-US" w:eastAsia="zh-CN" w:bidi="ar-SA"/>
              </w:rPr>
              <w:t>300</w:t>
            </w:r>
            <w:r>
              <w:rPr>
                <w:rFonts w:hint="default" w:ascii="Times New Roman" w:hAnsi="Times New Roman" w:eastAsia="宋体" w:cs="Times New Roman"/>
                <w:color w:val="0000FF"/>
                <w:kern w:val="2"/>
                <w:sz w:val="21"/>
                <w:szCs w:val="21"/>
                <w:highlight w:val="none"/>
                <w:lang w:val="en-US" w:eastAsia="zh-CN" w:bidi="ar-SA"/>
              </w:rPr>
              <w:t>mg/L、</w:t>
            </w:r>
            <w:r>
              <w:rPr>
                <w:rFonts w:hint="eastAsia" w:cs="Times New Roman"/>
                <w:color w:val="0000FF"/>
                <w:kern w:val="2"/>
                <w:sz w:val="21"/>
                <w:szCs w:val="21"/>
                <w:highlight w:val="none"/>
                <w:lang w:val="en-US" w:eastAsia="zh-CN" w:bidi="ar-SA"/>
              </w:rPr>
              <w:t>4</w:t>
            </w:r>
            <w:r>
              <w:rPr>
                <w:rFonts w:hint="default" w:ascii="Times New Roman" w:hAnsi="Times New Roman" w:eastAsia="宋体" w:cs="Times New Roman"/>
                <w:color w:val="0000FF"/>
                <w:kern w:val="2"/>
                <w:sz w:val="21"/>
                <w:szCs w:val="21"/>
                <w:highlight w:val="none"/>
                <w:lang w:val="en-US" w:eastAsia="zh-CN" w:bidi="ar-SA"/>
              </w:rPr>
              <w:t>00mg/L、</w:t>
            </w:r>
            <w:r>
              <w:rPr>
                <w:rFonts w:hint="eastAsia" w:cs="Times New Roman"/>
                <w:color w:val="0000FF"/>
                <w:kern w:val="2"/>
                <w:sz w:val="21"/>
                <w:szCs w:val="21"/>
                <w:highlight w:val="none"/>
                <w:lang w:val="en-US" w:eastAsia="zh-CN" w:bidi="ar-SA"/>
              </w:rPr>
              <w:t>50</w:t>
            </w:r>
            <w:r>
              <w:rPr>
                <w:rFonts w:hint="default" w:ascii="Times New Roman" w:hAnsi="Times New Roman" w:eastAsia="宋体" w:cs="Times New Roman"/>
                <w:color w:val="0000FF"/>
                <w:kern w:val="2"/>
                <w:sz w:val="21"/>
                <w:szCs w:val="21"/>
                <w:highlight w:val="none"/>
                <w:lang w:val="en-US" w:eastAsia="zh-CN" w:bidi="ar-SA"/>
              </w:rPr>
              <w:t>mg/L。生活污水经</w:t>
            </w:r>
            <w:r>
              <w:rPr>
                <w:rFonts w:hint="eastAsia" w:cs="Times New Roman"/>
                <w:color w:val="0000FF"/>
                <w:kern w:val="2"/>
                <w:sz w:val="21"/>
                <w:szCs w:val="21"/>
                <w:highlight w:val="none"/>
                <w:lang w:val="en-US" w:eastAsia="zh-CN" w:bidi="ar-SA"/>
              </w:rPr>
              <w:t>厂区</w:t>
            </w:r>
            <w:r>
              <w:rPr>
                <w:rFonts w:hint="default" w:ascii="Times New Roman" w:hAnsi="Times New Roman" w:eastAsia="宋体" w:cs="Times New Roman"/>
                <w:color w:val="0000FF"/>
                <w:kern w:val="2"/>
                <w:sz w:val="21"/>
                <w:szCs w:val="21"/>
                <w:highlight w:val="none"/>
                <w:lang w:val="en-US" w:eastAsia="zh-CN" w:bidi="ar-SA"/>
              </w:rPr>
              <w:t>内已建生化池处理后达标排放。污染物产生量为：COD：0.0</w:t>
            </w:r>
            <w:r>
              <w:rPr>
                <w:rFonts w:hint="eastAsia" w:cs="Times New Roman"/>
                <w:color w:val="0000FF"/>
                <w:kern w:val="2"/>
                <w:sz w:val="21"/>
                <w:szCs w:val="21"/>
                <w:highlight w:val="none"/>
                <w:lang w:val="en-US" w:eastAsia="zh-CN" w:bidi="ar-SA"/>
              </w:rPr>
              <w:t>32</w:t>
            </w:r>
            <w:r>
              <w:rPr>
                <w:rFonts w:hint="default" w:ascii="Times New Roman" w:hAnsi="Times New Roman" w:eastAsia="宋体" w:cs="Times New Roman"/>
                <w:color w:val="0000FF"/>
                <w:kern w:val="2"/>
                <w:sz w:val="21"/>
                <w:szCs w:val="21"/>
                <w:highlight w:val="none"/>
                <w:lang w:val="en-US" w:eastAsia="zh-CN" w:bidi="ar-SA"/>
              </w:rPr>
              <w:t>t、BOD</w:t>
            </w:r>
            <w:r>
              <w:rPr>
                <w:rFonts w:hint="default" w:ascii="Times New Roman" w:hAnsi="Times New Roman" w:eastAsia="宋体" w:cs="Times New Roman"/>
                <w:color w:val="0000FF"/>
                <w:kern w:val="2"/>
                <w:sz w:val="21"/>
                <w:szCs w:val="21"/>
                <w:highlight w:val="none"/>
                <w:vertAlign w:val="subscript"/>
                <w:lang w:val="en-US" w:eastAsia="zh-CN" w:bidi="ar-SA"/>
              </w:rPr>
              <w:t>5</w:t>
            </w:r>
            <w:r>
              <w:rPr>
                <w:rFonts w:hint="default" w:ascii="Times New Roman" w:hAnsi="Times New Roman" w:eastAsia="宋体" w:cs="Times New Roman"/>
                <w:color w:val="0000FF"/>
                <w:kern w:val="2"/>
                <w:sz w:val="21"/>
                <w:szCs w:val="21"/>
                <w:highlight w:val="none"/>
                <w:lang w:val="en-US" w:eastAsia="zh-CN" w:bidi="ar-SA"/>
              </w:rPr>
              <w:t>：0.0</w:t>
            </w:r>
            <w:r>
              <w:rPr>
                <w:rFonts w:hint="eastAsia" w:cs="Times New Roman"/>
                <w:color w:val="0000FF"/>
                <w:kern w:val="2"/>
                <w:sz w:val="21"/>
                <w:szCs w:val="21"/>
                <w:highlight w:val="none"/>
                <w:lang w:val="en-US" w:eastAsia="zh-CN" w:bidi="ar-SA"/>
              </w:rPr>
              <w:t>19</w:t>
            </w:r>
            <w:r>
              <w:rPr>
                <w:rFonts w:hint="default" w:ascii="Times New Roman" w:hAnsi="Times New Roman" w:eastAsia="宋体" w:cs="Times New Roman"/>
                <w:color w:val="0000FF"/>
                <w:kern w:val="2"/>
                <w:sz w:val="21"/>
                <w:szCs w:val="21"/>
                <w:highlight w:val="none"/>
                <w:lang w:val="en-US" w:eastAsia="zh-CN" w:bidi="ar-SA"/>
              </w:rPr>
              <w:t>t、SS：0.0</w:t>
            </w:r>
            <w:r>
              <w:rPr>
                <w:rFonts w:hint="eastAsia" w:cs="Times New Roman"/>
                <w:color w:val="0000FF"/>
                <w:kern w:val="2"/>
                <w:sz w:val="21"/>
                <w:szCs w:val="21"/>
                <w:highlight w:val="none"/>
                <w:lang w:val="en-US" w:eastAsia="zh-CN" w:bidi="ar-SA"/>
              </w:rPr>
              <w:t>26</w:t>
            </w:r>
            <w:r>
              <w:rPr>
                <w:rFonts w:hint="default" w:ascii="Times New Roman" w:hAnsi="Times New Roman" w:eastAsia="宋体" w:cs="Times New Roman"/>
                <w:color w:val="0000FF"/>
                <w:kern w:val="2"/>
                <w:sz w:val="21"/>
                <w:szCs w:val="21"/>
                <w:highlight w:val="none"/>
                <w:lang w:val="en-US" w:eastAsia="zh-CN" w:bidi="ar-SA"/>
              </w:rPr>
              <w:t>t、NH</w:t>
            </w:r>
            <w:r>
              <w:rPr>
                <w:rFonts w:hint="default" w:ascii="Times New Roman" w:hAnsi="Times New Roman" w:eastAsia="宋体" w:cs="Times New Roman"/>
                <w:color w:val="0000FF"/>
                <w:kern w:val="2"/>
                <w:sz w:val="21"/>
                <w:szCs w:val="21"/>
                <w:highlight w:val="none"/>
                <w:vertAlign w:val="subscript"/>
                <w:lang w:val="en-US" w:eastAsia="zh-CN" w:bidi="ar-SA"/>
              </w:rPr>
              <w:t>3</w:t>
            </w:r>
            <w:r>
              <w:rPr>
                <w:rFonts w:hint="default" w:ascii="Times New Roman" w:hAnsi="Times New Roman" w:eastAsia="宋体" w:cs="Times New Roman"/>
                <w:color w:val="0000FF"/>
                <w:kern w:val="2"/>
                <w:sz w:val="21"/>
                <w:szCs w:val="21"/>
                <w:highlight w:val="none"/>
                <w:lang w:val="en-US" w:eastAsia="zh-CN" w:bidi="ar-SA"/>
              </w:rPr>
              <w:t>-N：0.00</w:t>
            </w:r>
            <w:r>
              <w:rPr>
                <w:rFonts w:hint="eastAsia" w:cs="Times New Roman"/>
                <w:color w:val="0000FF"/>
                <w:kern w:val="2"/>
                <w:sz w:val="21"/>
                <w:szCs w:val="21"/>
                <w:highlight w:val="none"/>
                <w:lang w:val="en-US" w:eastAsia="zh-CN" w:bidi="ar-SA"/>
              </w:rPr>
              <w:t>3</w:t>
            </w:r>
            <w:r>
              <w:rPr>
                <w:rFonts w:hint="default" w:ascii="Times New Roman" w:hAnsi="Times New Roman" w:eastAsia="宋体" w:cs="Times New Roman"/>
                <w:color w:val="0000FF"/>
                <w:kern w:val="2"/>
                <w:sz w:val="21"/>
                <w:szCs w:val="21"/>
                <w:highlight w:val="none"/>
                <w:lang w:val="en-US" w:eastAsia="zh-CN" w:bidi="ar-SA"/>
              </w:rPr>
              <w:t>t。污染物排放量为：COD：0.0</w:t>
            </w:r>
            <w:r>
              <w:rPr>
                <w:rFonts w:hint="eastAsia" w:cs="Times New Roman"/>
                <w:color w:val="0000FF"/>
                <w:kern w:val="2"/>
                <w:sz w:val="21"/>
                <w:szCs w:val="21"/>
                <w:highlight w:val="none"/>
                <w:lang w:val="en-US" w:eastAsia="zh-CN" w:bidi="ar-SA"/>
              </w:rPr>
              <w:t>13</w:t>
            </w:r>
            <w:r>
              <w:rPr>
                <w:rFonts w:hint="default" w:ascii="Times New Roman" w:hAnsi="Times New Roman" w:eastAsia="宋体" w:cs="Times New Roman"/>
                <w:color w:val="0000FF"/>
                <w:kern w:val="2"/>
                <w:sz w:val="21"/>
                <w:szCs w:val="21"/>
                <w:highlight w:val="none"/>
                <w:lang w:val="en-US" w:eastAsia="zh-CN" w:bidi="ar-SA"/>
              </w:rPr>
              <w:t>t、BOD</w:t>
            </w:r>
            <w:r>
              <w:rPr>
                <w:rFonts w:hint="default" w:ascii="Times New Roman" w:hAnsi="Times New Roman" w:eastAsia="宋体" w:cs="Times New Roman"/>
                <w:color w:val="0000FF"/>
                <w:kern w:val="2"/>
                <w:sz w:val="21"/>
                <w:szCs w:val="21"/>
                <w:highlight w:val="none"/>
                <w:vertAlign w:val="subscript"/>
                <w:lang w:val="en-US" w:eastAsia="zh-CN" w:bidi="ar-SA"/>
              </w:rPr>
              <w:t>5</w:t>
            </w:r>
            <w:r>
              <w:rPr>
                <w:rFonts w:hint="default" w:ascii="Times New Roman" w:hAnsi="Times New Roman" w:eastAsia="宋体" w:cs="Times New Roman"/>
                <w:color w:val="0000FF"/>
                <w:kern w:val="2"/>
                <w:sz w:val="21"/>
                <w:szCs w:val="21"/>
                <w:highlight w:val="none"/>
                <w:lang w:val="en-US" w:eastAsia="zh-CN" w:bidi="ar-SA"/>
              </w:rPr>
              <w:t>：0.0</w:t>
            </w:r>
            <w:r>
              <w:rPr>
                <w:rFonts w:hint="eastAsia" w:cs="Times New Roman"/>
                <w:color w:val="0000FF"/>
                <w:kern w:val="2"/>
                <w:sz w:val="21"/>
                <w:szCs w:val="21"/>
                <w:highlight w:val="none"/>
                <w:lang w:val="en-US" w:eastAsia="zh-CN" w:bidi="ar-SA"/>
              </w:rPr>
              <w:t>10</w:t>
            </w:r>
            <w:r>
              <w:rPr>
                <w:rFonts w:hint="default" w:ascii="Times New Roman" w:hAnsi="Times New Roman" w:eastAsia="宋体" w:cs="Times New Roman"/>
                <w:color w:val="0000FF"/>
                <w:kern w:val="2"/>
                <w:sz w:val="21"/>
                <w:szCs w:val="21"/>
                <w:highlight w:val="none"/>
                <w:lang w:val="en-US" w:eastAsia="zh-CN" w:bidi="ar-SA"/>
              </w:rPr>
              <w:t>t、SS：0.0</w:t>
            </w:r>
            <w:r>
              <w:rPr>
                <w:rFonts w:hint="eastAsia" w:cs="Times New Roman"/>
                <w:color w:val="0000FF"/>
                <w:kern w:val="2"/>
                <w:sz w:val="21"/>
                <w:szCs w:val="21"/>
                <w:highlight w:val="none"/>
                <w:lang w:val="en-US" w:eastAsia="zh-CN" w:bidi="ar-SA"/>
              </w:rPr>
              <w:t>10</w:t>
            </w:r>
            <w:r>
              <w:rPr>
                <w:rFonts w:hint="default" w:ascii="Times New Roman" w:hAnsi="Times New Roman" w:eastAsia="宋体" w:cs="Times New Roman"/>
                <w:color w:val="0000FF"/>
                <w:kern w:val="2"/>
                <w:sz w:val="21"/>
                <w:szCs w:val="21"/>
                <w:highlight w:val="none"/>
                <w:lang w:val="en-US" w:eastAsia="zh-CN" w:bidi="ar-SA"/>
              </w:rPr>
              <w:t>t、NH</w:t>
            </w:r>
            <w:r>
              <w:rPr>
                <w:rFonts w:hint="default" w:ascii="Times New Roman" w:hAnsi="Times New Roman" w:eastAsia="宋体" w:cs="Times New Roman"/>
                <w:color w:val="0000FF"/>
                <w:kern w:val="2"/>
                <w:sz w:val="21"/>
                <w:szCs w:val="21"/>
                <w:highlight w:val="none"/>
                <w:vertAlign w:val="subscript"/>
                <w:lang w:val="en-US" w:eastAsia="zh-CN" w:bidi="ar-SA"/>
              </w:rPr>
              <w:t>3</w:t>
            </w:r>
            <w:r>
              <w:rPr>
                <w:rFonts w:hint="default" w:ascii="Times New Roman" w:hAnsi="Times New Roman" w:eastAsia="宋体" w:cs="Times New Roman"/>
                <w:color w:val="0000FF"/>
                <w:kern w:val="2"/>
                <w:sz w:val="21"/>
                <w:szCs w:val="21"/>
                <w:highlight w:val="none"/>
                <w:lang w:val="en-US" w:eastAsia="zh-CN" w:bidi="ar-SA"/>
              </w:rPr>
              <w:t>-N：0.00</w:t>
            </w:r>
            <w:r>
              <w:rPr>
                <w:rFonts w:hint="eastAsia" w:cs="Times New Roman"/>
                <w:color w:val="0000FF"/>
                <w:kern w:val="2"/>
                <w:sz w:val="21"/>
                <w:szCs w:val="21"/>
                <w:highlight w:val="none"/>
                <w:lang w:val="en-US" w:eastAsia="zh-CN" w:bidi="ar-SA"/>
              </w:rPr>
              <w:t>13</w:t>
            </w:r>
            <w:r>
              <w:rPr>
                <w:rFonts w:hint="default" w:ascii="Times New Roman" w:hAnsi="Times New Roman" w:eastAsia="宋体" w:cs="Times New Roman"/>
                <w:color w:val="0000FF"/>
                <w:kern w:val="2"/>
                <w:sz w:val="21"/>
                <w:szCs w:val="21"/>
                <w:highlight w:val="none"/>
                <w:lang w:val="en-US" w:eastAsia="zh-CN" w:bidi="ar-SA"/>
              </w:rPr>
              <w:t>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噪声：主要来自于装修和设备安装等，噪声值约60~80dB(A)。</w:t>
            </w:r>
          </w:p>
          <w:p>
            <w:pPr>
              <w:pStyle w:val="43"/>
              <w:bidi w:val="0"/>
              <w:rPr>
                <w:rFonts w:hint="default" w:ascii="Times New Roman" w:hAnsi="Times New Roman" w:cs="Times New Roman"/>
                <w:bCs/>
                <w:color w:val="auto"/>
                <w:spacing w:val="-10"/>
                <w:szCs w:val="21"/>
              </w:rPr>
            </w:pPr>
            <w:r>
              <w:rPr>
                <w:rFonts w:hint="default" w:ascii="Times New Roman" w:hAnsi="Times New Roman" w:eastAsia="宋体" w:cs="Times New Roman"/>
                <w:color w:val="000000"/>
                <w:kern w:val="2"/>
                <w:sz w:val="21"/>
                <w:szCs w:val="21"/>
                <w:highlight w:val="none"/>
                <w:lang w:val="en-US" w:eastAsia="zh-CN" w:bidi="ar-SA"/>
              </w:rPr>
              <w:t>固体废物：主要为施工人员产生的生活垃圾，约5kg/d（0.45t），收集后交市政环卫部门统一处置；厂房装修产生的少量建筑垃圾，约2t，收集后运至指定渣场处置。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noWrap w:val="0"/>
            <w:tcMar>
              <w:left w:w="28" w:type="dxa"/>
              <w:right w:w="28" w:type="dxa"/>
            </w:tcMar>
            <w:vAlign w:val="center"/>
          </w:tcPr>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eastAsia" w:ascii="Times New Roman" w:hAnsi="Times New Roman" w:cs="Times New Roman"/>
                <w:color w:val="auto"/>
                <w:kern w:val="2"/>
                <w:sz w:val="21"/>
                <w:szCs w:val="21"/>
                <w:lang w:val="en-US" w:eastAsia="zh-CN"/>
              </w:rPr>
              <w:t>运营</w:t>
            </w:r>
            <w:r>
              <w:rPr>
                <w:rFonts w:hint="default" w:ascii="Times New Roman" w:hAnsi="Times New Roman" w:cs="Times New Roman"/>
                <w:color w:val="auto"/>
                <w:kern w:val="2"/>
                <w:sz w:val="21"/>
                <w:szCs w:val="21"/>
              </w:rPr>
              <w:t>期环</w:t>
            </w:r>
          </w:p>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境保</w:t>
            </w:r>
          </w:p>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护措</w:t>
            </w:r>
          </w:p>
          <w:p>
            <w:pPr>
              <w:pStyle w:val="16"/>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w:t>
            </w:r>
          </w:p>
        </w:tc>
        <w:tc>
          <w:tcPr>
            <w:tcW w:w="8442" w:type="dxa"/>
            <w:noWrap w:val="0"/>
            <w:vAlign w:val="center"/>
          </w:tcPr>
          <w:p>
            <w:pPr>
              <w:pStyle w:val="46"/>
              <w:numPr>
                <w:ilvl w:val="0"/>
                <w:numId w:val="0"/>
              </w:numPr>
              <w:bidi w:val="0"/>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废气</w:t>
            </w:r>
          </w:p>
          <w:p>
            <w:pPr>
              <w:spacing w:line="360" w:lineRule="auto"/>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1.1废气产排污分析</w:t>
            </w:r>
          </w:p>
          <w:p>
            <w:pPr>
              <w:spacing w:line="360" w:lineRule="auto"/>
              <w:ind w:firstLine="420" w:firstLineChars="200"/>
              <w:rPr>
                <w:rFonts w:hint="default" w:cs="Times New Roman"/>
                <w:sz w:val="21"/>
                <w:szCs w:val="21"/>
                <w:lang w:val="en-US" w:eastAsia="zh-CN"/>
              </w:rPr>
            </w:pPr>
            <w:r>
              <w:rPr>
                <w:rFonts w:hint="eastAsia" w:ascii="宋体" w:hAnsi="宋体" w:eastAsia="宋体" w:cs="宋体"/>
                <w:sz w:val="21"/>
                <w:szCs w:val="21"/>
                <w:lang w:val="en-US" w:eastAsia="zh-CN"/>
              </w:rPr>
              <w:t>①生产工艺废气</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cs="Times New Roman"/>
                <w:sz w:val="21"/>
                <w:szCs w:val="21"/>
                <w:lang w:val="en-US" w:eastAsia="zh-CN"/>
              </w:rPr>
              <w:t>拟建</w:t>
            </w:r>
            <w:r>
              <w:rPr>
                <w:rFonts w:hint="default" w:ascii="Times New Roman" w:hAnsi="Times New Roman" w:eastAsia="宋体" w:cs="Times New Roman"/>
                <w:sz w:val="21"/>
                <w:szCs w:val="21"/>
                <w:lang w:val="en-US" w:eastAsia="zh-CN"/>
              </w:rPr>
              <w:t>项目废气主要为</w:t>
            </w:r>
            <w:r>
              <w:rPr>
                <w:rFonts w:hint="eastAsia" w:cs="Times New Roman"/>
                <w:sz w:val="21"/>
                <w:szCs w:val="21"/>
                <w:lang w:val="en-US" w:eastAsia="zh-CN"/>
              </w:rPr>
              <w:t>挤出废气、拉伸废气及定型废气</w:t>
            </w: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在挤出、成型，预热拉伸及烤箱定型环节过程中，电加热温度为10</w:t>
            </w:r>
            <w:r>
              <w:rPr>
                <w:rFonts w:hint="eastAsia" w:cs="Times New Roman"/>
                <w:color w:val="auto"/>
                <w:sz w:val="21"/>
                <w:szCs w:val="21"/>
                <w:lang w:val="en-US" w:eastAsia="zh-CN"/>
              </w:rPr>
              <w:t>0~</w:t>
            </w:r>
            <w:r>
              <w:rPr>
                <w:rFonts w:hint="eastAsia" w:cs="Times New Roman"/>
                <w:color w:val="auto"/>
                <w:lang w:val="en-US" w:eastAsia="zh-CN"/>
              </w:rPr>
              <w:t>260</w:t>
            </w:r>
            <w:r>
              <w:rPr>
                <w:rFonts w:hint="default" w:ascii="Times New Roman" w:hAnsi="Times New Roman" w:cs="Times New Roman"/>
                <w:color w:val="auto"/>
                <w:lang w:val="en-US" w:eastAsia="zh-CN"/>
              </w:rPr>
              <w:t>℃</w:t>
            </w:r>
            <w:r>
              <w:rPr>
                <w:rFonts w:hint="eastAsia" w:cs="Times New Roman"/>
                <w:color w:val="auto"/>
                <w:lang w:val="en-US" w:eastAsia="zh-CN"/>
              </w:rPr>
              <w:t>之间，最高温度未达到PP及PET分解温度（PP：310</w:t>
            </w:r>
            <w:r>
              <w:rPr>
                <w:rFonts w:hint="default" w:ascii="Times New Roman" w:hAnsi="Times New Roman" w:cs="Times New Roman"/>
                <w:color w:val="auto"/>
                <w:lang w:val="en-US" w:eastAsia="zh-CN"/>
              </w:rPr>
              <w:t>℃</w:t>
            </w:r>
            <w:r>
              <w:rPr>
                <w:rFonts w:hint="eastAsia" w:cs="Times New Roman"/>
                <w:color w:val="auto"/>
                <w:lang w:val="en-US" w:eastAsia="zh-CN"/>
              </w:rPr>
              <w:t>，PET：300</w:t>
            </w:r>
            <w:r>
              <w:rPr>
                <w:rFonts w:hint="default" w:ascii="Times New Roman" w:hAnsi="Times New Roman" w:cs="Times New Roman"/>
                <w:color w:val="auto"/>
                <w:lang w:val="en-US" w:eastAsia="zh-CN"/>
              </w:rPr>
              <w:t>℃</w:t>
            </w:r>
            <w:r>
              <w:rPr>
                <w:rFonts w:hint="eastAsia" w:cs="Times New Roman"/>
                <w:color w:val="auto"/>
                <w:lang w:val="en-US" w:eastAsia="zh-CN"/>
              </w:rPr>
              <w:t>），但</w:t>
            </w:r>
            <w:r>
              <w:rPr>
                <w:rFonts w:hint="default" w:ascii="Times New Roman" w:hAnsi="Times New Roman" w:eastAsia="宋体" w:cs="Times New Roman"/>
                <w:color w:val="auto"/>
                <w:sz w:val="21"/>
                <w:szCs w:val="21"/>
                <w:lang w:val="en-US" w:eastAsia="zh-CN"/>
              </w:rPr>
              <w:t>物料</w:t>
            </w:r>
            <w:r>
              <w:rPr>
                <w:rFonts w:hint="eastAsia" w:cs="Times New Roman"/>
                <w:color w:val="auto"/>
                <w:sz w:val="21"/>
                <w:szCs w:val="21"/>
                <w:lang w:val="en-US" w:eastAsia="zh-CN"/>
              </w:rPr>
              <w:t>在熔融期间有</w:t>
            </w:r>
            <w:r>
              <w:rPr>
                <w:rFonts w:hint="default" w:ascii="Times New Roman" w:hAnsi="Times New Roman" w:eastAsia="宋体" w:cs="Times New Roman"/>
                <w:sz w:val="21"/>
                <w:szCs w:val="21"/>
                <w:lang w:val="en-US" w:eastAsia="zh-CN"/>
              </w:rPr>
              <w:t>少量的未聚合的短链分子挥发出来。因此，在</w:t>
            </w:r>
            <w:r>
              <w:rPr>
                <w:rFonts w:hint="eastAsia" w:cs="Times New Roman"/>
                <w:sz w:val="21"/>
                <w:szCs w:val="21"/>
                <w:lang w:val="en-US" w:eastAsia="zh-CN"/>
              </w:rPr>
              <w:t>上述</w:t>
            </w:r>
            <w:r>
              <w:rPr>
                <w:rFonts w:hint="default" w:ascii="Times New Roman" w:hAnsi="Times New Roman" w:eastAsia="宋体" w:cs="Times New Roman"/>
                <w:sz w:val="21"/>
                <w:szCs w:val="21"/>
                <w:lang w:val="en-US" w:eastAsia="zh-CN"/>
              </w:rPr>
              <w:t>过程中会产生少量</w:t>
            </w:r>
            <w:r>
              <w:rPr>
                <w:rFonts w:hint="default" w:ascii="Times New Roman" w:hAnsi="Times New Roman" w:eastAsia="宋体" w:cs="Times New Roman"/>
                <w:color w:val="auto"/>
                <w:sz w:val="21"/>
                <w:szCs w:val="21"/>
                <w:lang w:val="en-US" w:eastAsia="zh-CN"/>
              </w:rPr>
              <w:t>的含非甲烷总烃类废气及臭气</w:t>
            </w:r>
            <w:r>
              <w:rPr>
                <w:rFonts w:hint="eastAsia" w:cs="Times New Roman"/>
                <w:color w:val="auto"/>
                <w:sz w:val="21"/>
                <w:szCs w:val="21"/>
                <w:lang w:val="en-US" w:eastAsia="zh-CN"/>
              </w:rPr>
              <w:t>。</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根据《排放源统计调查产排污核算方法和系数手册》（公告2021年第24号） 292塑料制品行业系数手册：非甲烷总烃产污系数为</w:t>
            </w:r>
            <w:r>
              <w:rPr>
                <w:rFonts w:hint="eastAsia" w:cs="Times New Roman"/>
                <w:color w:val="auto"/>
                <w:sz w:val="21"/>
                <w:szCs w:val="21"/>
                <w:lang w:val="en-US" w:eastAsia="zh-CN"/>
              </w:rPr>
              <w:t>3.76</w:t>
            </w:r>
            <w:r>
              <w:rPr>
                <w:rFonts w:hint="default" w:ascii="Times New Roman" w:hAnsi="Times New Roman" w:eastAsia="宋体" w:cs="Times New Roman"/>
                <w:color w:val="auto"/>
                <w:sz w:val="21"/>
                <w:szCs w:val="21"/>
                <w:lang w:val="en-US" w:eastAsia="zh-CN"/>
              </w:rPr>
              <w:t>kg/吨-产品，</w:t>
            </w:r>
            <w:r>
              <w:rPr>
                <w:rFonts w:hint="eastAsia"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项目产品量共计</w:t>
            </w:r>
            <w:r>
              <w:rPr>
                <w:rFonts w:hint="eastAsia" w:cs="Times New Roman"/>
                <w:color w:val="auto"/>
                <w:sz w:val="21"/>
                <w:szCs w:val="21"/>
                <w:lang w:val="en-US" w:eastAsia="zh-CN"/>
              </w:rPr>
              <w:t>1000</w:t>
            </w:r>
            <w:r>
              <w:rPr>
                <w:rFonts w:hint="default" w:ascii="Times New Roman" w:hAnsi="Times New Roman" w:eastAsia="宋体" w:cs="Times New Roman"/>
                <w:color w:val="auto"/>
                <w:sz w:val="21"/>
                <w:szCs w:val="21"/>
                <w:lang w:val="en-US" w:eastAsia="zh-CN"/>
              </w:rPr>
              <w:t>吨，则</w:t>
            </w:r>
            <w:r>
              <w:rPr>
                <w:rFonts w:hint="eastAsia"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项目在</w:t>
            </w:r>
            <w:r>
              <w:rPr>
                <w:rFonts w:hint="eastAsia" w:cs="Times New Roman"/>
                <w:sz w:val="21"/>
                <w:szCs w:val="21"/>
                <w:lang w:val="en-US" w:eastAsia="zh-CN"/>
              </w:rPr>
              <w:t>挤出成型、预热拉伸及烤箱定型</w:t>
            </w:r>
            <w:r>
              <w:rPr>
                <w:rFonts w:hint="default" w:ascii="Times New Roman" w:hAnsi="Times New Roman" w:eastAsia="宋体" w:cs="Times New Roman"/>
                <w:color w:val="auto"/>
                <w:sz w:val="21"/>
                <w:szCs w:val="21"/>
                <w:lang w:val="en-US" w:eastAsia="zh-CN"/>
              </w:rPr>
              <w:t>过程中非甲烷总烃总产生量约</w:t>
            </w:r>
            <w:r>
              <w:rPr>
                <w:rFonts w:hint="eastAsia" w:cs="Times New Roman"/>
                <w:color w:val="auto"/>
                <w:sz w:val="21"/>
                <w:szCs w:val="21"/>
                <w:lang w:val="en-US" w:eastAsia="zh-CN"/>
              </w:rPr>
              <w:t>3.76</w:t>
            </w:r>
            <w:r>
              <w:rPr>
                <w:rFonts w:hint="default" w:ascii="Times New Roman" w:hAnsi="Times New Roman" w:eastAsia="宋体" w:cs="Times New Roman"/>
                <w:color w:val="auto"/>
                <w:sz w:val="21"/>
                <w:szCs w:val="21"/>
                <w:lang w:val="en-US" w:eastAsia="zh-CN"/>
              </w:rPr>
              <w:t>t/a。</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根据《排放源统计调查产排污核算方法和系数手册》（公告2021年第24号） 292塑料制品行业系数手册：</w:t>
            </w:r>
            <w:r>
              <w:rPr>
                <w:rFonts w:hint="eastAsia" w:cs="Times New Roman"/>
                <w:color w:val="auto"/>
                <w:sz w:val="21"/>
                <w:szCs w:val="21"/>
                <w:lang w:val="en-US" w:eastAsia="zh-CN"/>
              </w:rPr>
              <w:t>工业废气量</w:t>
            </w:r>
            <w:r>
              <w:rPr>
                <w:rFonts w:hint="default" w:ascii="Times New Roman" w:hAnsi="Times New Roman" w:eastAsia="宋体" w:cs="Times New Roman"/>
                <w:color w:val="auto"/>
                <w:sz w:val="21"/>
                <w:szCs w:val="21"/>
                <w:lang w:val="en-US" w:eastAsia="zh-CN"/>
              </w:rPr>
              <w:t>产污系数为</w:t>
            </w:r>
            <w:r>
              <w:rPr>
                <w:rFonts w:hint="eastAsia" w:cs="Times New Roman"/>
                <w:color w:val="auto"/>
                <w:sz w:val="21"/>
                <w:szCs w:val="21"/>
                <w:lang w:val="en-US" w:eastAsia="zh-CN"/>
              </w:rPr>
              <w:t>12000m</w:t>
            </w:r>
            <w:r>
              <w:rPr>
                <w:rFonts w:hint="eastAsia"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/吨-产品，</w:t>
            </w:r>
            <w:r>
              <w:rPr>
                <w:rFonts w:hint="eastAsia"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项目产品量共计</w:t>
            </w:r>
            <w:r>
              <w:rPr>
                <w:rFonts w:hint="eastAsia" w:cs="Times New Roman"/>
                <w:color w:val="auto"/>
                <w:sz w:val="21"/>
                <w:szCs w:val="21"/>
                <w:lang w:val="en-US" w:eastAsia="zh-CN"/>
              </w:rPr>
              <w:t>1000</w:t>
            </w:r>
            <w:r>
              <w:rPr>
                <w:rFonts w:hint="default" w:ascii="Times New Roman" w:hAnsi="Times New Roman" w:eastAsia="宋体" w:cs="Times New Roman"/>
                <w:color w:val="auto"/>
                <w:sz w:val="21"/>
                <w:szCs w:val="21"/>
                <w:lang w:val="en-US" w:eastAsia="zh-CN"/>
              </w:rPr>
              <w:t>吨，则</w:t>
            </w:r>
            <w:r>
              <w:rPr>
                <w:rFonts w:hint="eastAsia"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项目在</w:t>
            </w:r>
            <w:r>
              <w:rPr>
                <w:rFonts w:hint="eastAsia" w:cs="Times New Roman"/>
                <w:sz w:val="21"/>
                <w:szCs w:val="21"/>
                <w:lang w:val="en-US" w:eastAsia="zh-CN"/>
              </w:rPr>
              <w:t>挤出成型、预热拉伸及烤箱定型</w:t>
            </w:r>
            <w:r>
              <w:rPr>
                <w:rFonts w:hint="default" w:ascii="Times New Roman" w:hAnsi="Times New Roman" w:eastAsia="宋体" w:cs="Times New Roman"/>
                <w:color w:val="auto"/>
                <w:sz w:val="21"/>
                <w:szCs w:val="21"/>
                <w:lang w:val="en-US" w:eastAsia="zh-CN"/>
              </w:rPr>
              <w:t>过程中</w:t>
            </w:r>
            <w:r>
              <w:rPr>
                <w:rFonts w:hint="eastAsia" w:cs="Times New Roman"/>
                <w:color w:val="auto"/>
                <w:sz w:val="21"/>
                <w:szCs w:val="21"/>
                <w:lang w:val="en-US" w:eastAsia="zh-CN"/>
              </w:rPr>
              <w:t>工业废气</w:t>
            </w:r>
            <w:r>
              <w:rPr>
                <w:rFonts w:hint="default" w:ascii="Times New Roman" w:hAnsi="Times New Roman" w:eastAsia="宋体" w:cs="Times New Roman"/>
                <w:color w:val="auto"/>
                <w:sz w:val="21"/>
                <w:szCs w:val="21"/>
                <w:lang w:val="en-US" w:eastAsia="zh-CN"/>
              </w:rPr>
              <w:t>总产生量约</w:t>
            </w:r>
            <w:r>
              <w:rPr>
                <w:rFonts w:hint="eastAsia" w:cs="Times New Roman"/>
                <w:color w:val="auto"/>
                <w:sz w:val="21"/>
                <w:szCs w:val="21"/>
                <w:lang w:val="en-US" w:eastAsia="zh-CN"/>
              </w:rPr>
              <w:t>1200万m</w:t>
            </w:r>
            <w:r>
              <w:rPr>
                <w:rFonts w:hint="eastAsia"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/a。</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w:t>
            </w:r>
            <w:r>
              <w:rPr>
                <w:rFonts w:hint="eastAsia" w:cs="Times New Roman"/>
                <w:color w:val="auto"/>
                <w:lang w:val="en-US" w:eastAsia="zh-CN"/>
              </w:rPr>
              <w:t>考虑为了加强废气的收集，拟</w:t>
            </w:r>
            <w:r>
              <w:rPr>
                <w:rFonts w:hint="default" w:ascii="Times New Roman" w:hAnsi="Times New Roman" w:cs="Times New Roman"/>
                <w:color w:val="auto"/>
                <w:lang w:val="en-US" w:eastAsia="zh-CN"/>
              </w:rPr>
              <w:t>设计安装集气罩</w:t>
            </w:r>
            <w:r>
              <w:rPr>
                <w:rFonts w:hint="eastAsia" w:cs="Times New Roman"/>
                <w:color w:val="auto"/>
                <w:lang w:val="en-US" w:eastAsia="zh-CN"/>
              </w:rPr>
              <w:t>位于挤出成型端口、预热拉伸环节烤箱通风口处及烤箱定型烤箱通风口处，因此废气最终气量</w:t>
            </w:r>
            <w:r>
              <w:rPr>
                <w:rFonts w:hint="default" w:ascii="Times New Roman" w:hAnsi="Times New Roman" w:cs="Times New Roman"/>
                <w:color w:val="auto"/>
                <w:lang w:val="en-US" w:eastAsia="zh-CN"/>
              </w:rPr>
              <w:t>按照</w:t>
            </w:r>
            <w:r>
              <w:rPr>
                <w:rFonts w:hint="default" w:ascii="Times New Roman" w:hAnsi="Times New Roman" w:cs="Times New Roman"/>
                <w:color w:val="auto"/>
              </w:rPr>
              <w:t>《大气污染控制工程》</w:t>
            </w:r>
            <w:r>
              <w:rPr>
                <w:rFonts w:hint="default" w:ascii="Times New Roman" w:hAnsi="Times New Roman" w:cs="Times New Roman"/>
                <w:color w:val="auto"/>
                <w:lang w:eastAsia="zh-CN"/>
              </w:rPr>
              <w:t>（郝吉明，马广大，王书肖</w:t>
            </w:r>
            <w:r>
              <w:rPr>
                <w:rFonts w:hint="default" w:ascii="Times New Roman" w:hAnsi="Times New Roman" w:cs="Times New Roman"/>
                <w:color w:val="auto"/>
                <w:lang w:val="en-US" w:eastAsia="zh-CN"/>
              </w:rPr>
              <w:t>主编</w:t>
            </w:r>
            <w:r>
              <w:rPr>
                <w:rFonts w:hint="default" w:ascii="Times New Roman" w:hAnsi="Times New Roman" w:cs="Times New Roman"/>
                <w:color w:val="auto"/>
                <w:lang w:eastAsia="zh-CN"/>
              </w:rPr>
              <w:t>，2010年01月</w:t>
            </w:r>
            <w:r>
              <w:rPr>
                <w:rFonts w:hint="default" w:ascii="Times New Roman" w:hAnsi="Times New Roman" w:cs="Times New Roman"/>
                <w:color w:val="auto"/>
                <w:lang w:val="en-US" w:eastAsia="zh-CN"/>
              </w:rPr>
              <w:t>出版</w:t>
            </w:r>
            <w:r>
              <w:rPr>
                <w:rFonts w:hint="default" w:ascii="Times New Roman" w:hAnsi="Times New Roman" w:cs="Times New Roman"/>
                <w:color w:val="auto"/>
                <w:lang w:eastAsia="zh-CN"/>
              </w:rPr>
              <w:t>）</w:t>
            </w:r>
            <w:r>
              <w:rPr>
                <w:rFonts w:hint="default" w:ascii="Times New Roman" w:hAnsi="Times New Roman" w:cs="Times New Roman"/>
                <w:color w:val="auto"/>
              </w:rPr>
              <w:t>中集气罩设计原</w:t>
            </w:r>
            <w:r>
              <w:rPr>
                <w:rFonts w:hint="default" w:ascii="Times New Roman" w:hAnsi="Times New Roman" w:cs="Times New Roman"/>
                <w:color w:val="auto"/>
                <w:lang w:val="en-US" w:eastAsia="zh-CN"/>
              </w:rPr>
              <w:t>则确定，经验公式如下：</w:t>
            </w:r>
          </w:p>
          <w:p>
            <w:pPr>
              <w:pStyle w:val="43"/>
              <w:bidi w:val="0"/>
              <w:jc w:val="right"/>
              <w:rPr>
                <w:rFonts w:hint="default" w:ascii="Times New Roman" w:hAnsi="Times New Roman" w:eastAsia="宋体" w:cs="Times New Roman"/>
                <w:color w:val="auto"/>
                <w:lang w:val="en-US" w:eastAsia="zh-CN"/>
              </w:rPr>
            </w:pPr>
            <w:r>
              <w:rPr>
                <w:rFonts w:hint="default" w:ascii="Times New Roman" w:hAnsi="Times New Roman" w:cs="Times New Roman"/>
                <w:color w:val="auto"/>
              </w:rPr>
              <w:drawing>
                <wp:anchor distT="0" distB="0" distL="114300" distR="114300" simplePos="0" relativeHeight="251663360" behindDoc="0" locked="0" layoutInCell="1" allowOverlap="1">
                  <wp:simplePos x="0" y="0"/>
                  <wp:positionH relativeFrom="column">
                    <wp:posOffset>1699260</wp:posOffset>
                  </wp:positionH>
                  <wp:positionV relativeFrom="paragraph">
                    <wp:posOffset>0</wp:posOffset>
                  </wp:positionV>
                  <wp:extent cx="1378585" cy="219075"/>
                  <wp:effectExtent l="0" t="0" r="12065" b="8255"/>
                  <wp:wrapSquare wrapText="bothSides"/>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7"/>
                          <a:stretch>
                            <a:fillRect/>
                          </a:stretch>
                        </pic:blipFill>
                        <pic:spPr>
                          <a:xfrm>
                            <a:off x="0" y="0"/>
                            <a:ext cx="1378585" cy="219075"/>
                          </a:xfrm>
                          <a:prstGeom prst="rect">
                            <a:avLst/>
                          </a:prstGeom>
                          <a:noFill/>
                          <a:ln>
                            <a:noFill/>
                          </a:ln>
                        </pic:spPr>
                      </pic:pic>
                    </a:graphicData>
                  </a:graphic>
                </wp:anchor>
              </w:drawing>
            </w:r>
            <w:r>
              <w:rPr>
                <w:rFonts w:hint="default" w:ascii="Times New Roman" w:hAnsi="Times New Roman" w:cs="Times New Roman"/>
                <w:color w:val="auto"/>
                <w:lang w:val="en-US" w:eastAsia="zh-CN"/>
              </w:rPr>
              <w:t xml:space="preserve">                           （1）</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式中：L——集气罩风量，m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/s；</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V</w:t>
            </w:r>
            <w:r>
              <w:rPr>
                <w:rFonts w:hint="default" w:ascii="Times New Roman" w:hAnsi="Times New Roman" w:cs="Times New Roman"/>
                <w:color w:val="auto"/>
                <w:vertAlign w:val="subscript"/>
                <w:lang w:val="en-US" w:eastAsia="zh-CN"/>
              </w:rPr>
              <w:t>0</w:t>
            </w:r>
            <w:r>
              <w:rPr>
                <w:rFonts w:hint="default" w:ascii="Times New Roman" w:hAnsi="Times New Roman" w:cs="Times New Roman"/>
                <w:color w:val="auto"/>
                <w:lang w:val="en-US" w:eastAsia="zh-CN"/>
              </w:rPr>
              <w:t>——吸气口的平均风速，m/s；</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V</w:t>
            </w:r>
            <w:r>
              <w:rPr>
                <w:rFonts w:hint="default" w:ascii="Times New Roman" w:hAnsi="Times New Roman" w:cs="Times New Roman"/>
                <w:color w:val="auto"/>
                <w:vertAlign w:val="subscript"/>
                <w:lang w:val="en-US" w:eastAsia="zh-CN"/>
              </w:rPr>
              <w:t>x</w:t>
            </w:r>
            <w:r>
              <w:rPr>
                <w:rFonts w:hint="default" w:ascii="Times New Roman" w:hAnsi="Times New Roman" w:cs="Times New Roman"/>
                <w:color w:val="auto"/>
                <w:lang w:val="en-US" w:eastAsia="zh-CN"/>
              </w:rPr>
              <w:t>——控制点的吸入风速，m/s；</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F——集气罩面积，m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x——控制点到吸气口的距离，m。</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根据上文《大气污染控制工程》集气罩设计原则，</w:t>
            </w:r>
            <w:r>
              <w:rPr>
                <w:rFonts w:hint="eastAsia" w:cs="Times New Roman"/>
                <w:color w:val="auto"/>
                <w:lang w:val="en-US" w:eastAsia="zh-CN"/>
              </w:rPr>
              <w:t>拟建</w:t>
            </w:r>
            <w:r>
              <w:rPr>
                <w:rFonts w:hint="default" w:ascii="Times New Roman" w:hAnsi="Times New Roman" w:cs="Times New Roman"/>
                <w:color w:val="auto"/>
                <w:lang w:val="en-US" w:eastAsia="zh-CN"/>
              </w:rPr>
              <w:t>项目正常生产时废气集气罩距无组织废气散发点距离（x）可控制在0.4m</w:t>
            </w:r>
            <w:r>
              <w:rPr>
                <w:rFonts w:hint="eastAsia" w:cs="Times New Roman"/>
                <w:color w:val="auto"/>
                <w:lang w:val="en-US" w:eastAsia="zh-CN"/>
              </w:rPr>
              <w:t>，</w:t>
            </w:r>
            <w:r>
              <w:rPr>
                <w:rFonts w:hint="default" w:ascii="Times New Roman" w:hAnsi="Times New Roman" w:cs="Times New Roman"/>
                <w:color w:val="auto"/>
                <w:lang w:val="en-US" w:eastAsia="zh-CN"/>
              </w:rPr>
              <w:t>集气罩设置规格为0.</w:t>
            </w:r>
            <w:r>
              <w:rPr>
                <w:rFonts w:hint="eastAsia" w:cs="Times New Roman"/>
                <w:color w:val="auto"/>
                <w:lang w:val="en-US" w:eastAsia="zh-CN"/>
              </w:rPr>
              <w:t>4</w:t>
            </w:r>
            <w:r>
              <w:rPr>
                <w:rFonts w:hint="default" w:ascii="Times New Roman" w:hAnsi="Times New Roman" w:cs="Times New Roman"/>
                <w:color w:val="auto"/>
                <w:lang w:val="en-US" w:eastAsia="zh-CN"/>
              </w:rPr>
              <w:t>m×0.4m面积（F）约0.</w:t>
            </w:r>
            <w:r>
              <w:rPr>
                <w:rFonts w:hint="eastAsia" w:cs="Times New Roman"/>
                <w:color w:val="auto"/>
                <w:lang w:val="en-US" w:eastAsia="zh-CN"/>
              </w:rPr>
              <w:t>16</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2</w:t>
            </w:r>
            <w:r>
              <w:rPr>
                <w:rFonts w:hint="eastAsia" w:cs="Times New Roman"/>
                <w:color w:val="auto"/>
                <w:lang w:val="en-US" w:eastAsia="zh-CN"/>
              </w:rPr>
              <w:t>，</w:t>
            </w:r>
            <w:r>
              <w:rPr>
                <w:rFonts w:hint="default" w:ascii="Times New Roman" w:hAnsi="Times New Roman" w:cs="Times New Roman"/>
                <w:color w:val="auto"/>
                <w:lang w:val="en-US" w:eastAsia="zh-CN"/>
              </w:rPr>
              <w:t>拟建项目</w:t>
            </w:r>
            <w:r>
              <w:rPr>
                <w:rFonts w:hint="eastAsia" w:cs="Times New Roman"/>
                <w:color w:val="auto"/>
                <w:lang w:val="en-US" w:eastAsia="zh-CN"/>
              </w:rPr>
              <w:t>PP生产线及PET生产线各设计3个，</w:t>
            </w:r>
            <w:r>
              <w:rPr>
                <w:rFonts w:hint="default" w:ascii="Times New Roman" w:hAnsi="Times New Roman" w:cs="Times New Roman"/>
                <w:color w:val="auto"/>
                <w:lang w:val="en-US" w:eastAsia="zh-CN"/>
              </w:rPr>
              <w:t>考虑最小控制风速为0.3m/s，即Vx取0.4m/s。则根据计算得集气罩要求的最小风量为0.7</w:t>
            </w:r>
            <w:r>
              <w:rPr>
                <w:rFonts w:hint="eastAsia" w:cs="Times New Roman"/>
                <w:color w:val="auto"/>
                <w:lang w:val="en-US" w:eastAsia="zh-CN"/>
              </w:rPr>
              <w:t>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/s</w:t>
            </w:r>
            <w:r>
              <w:rPr>
                <w:rFonts w:hint="eastAsia" w:cs="Times New Roman"/>
                <w:color w:val="auto"/>
                <w:lang w:val="en-US" w:eastAsia="zh-CN"/>
              </w:rPr>
              <w:t>·个</w:t>
            </w:r>
            <w:r>
              <w:rPr>
                <w:rFonts w:hint="default" w:ascii="Times New Roman" w:hAnsi="Times New Roman" w:cs="Times New Roman"/>
                <w:color w:val="auto"/>
                <w:lang w:val="en-US" w:eastAsia="zh-CN"/>
              </w:rPr>
              <w:t>，即25</w:t>
            </w:r>
            <w:r>
              <w:rPr>
                <w:rFonts w:hint="eastAsia" w:cs="Times New Roman"/>
                <w:color w:val="auto"/>
                <w:lang w:val="en-US" w:eastAsia="zh-CN"/>
              </w:rPr>
              <w:t>20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/h</w:t>
            </w:r>
            <w:r>
              <w:rPr>
                <w:rFonts w:hint="eastAsia" w:cs="Times New Roman"/>
                <w:color w:val="auto"/>
                <w:lang w:val="en-US" w:eastAsia="zh-CN"/>
              </w:rPr>
              <w:t>·个</w:t>
            </w:r>
            <w:r>
              <w:rPr>
                <w:rFonts w:hint="default" w:ascii="Times New Roman" w:hAnsi="Times New Roman" w:cs="Times New Roman"/>
                <w:color w:val="auto"/>
                <w:lang w:val="en-US" w:eastAsia="zh-CN"/>
              </w:rPr>
              <w:t>。拟建项目</w:t>
            </w:r>
            <w:r>
              <w:rPr>
                <w:rFonts w:hint="eastAsia" w:cs="Times New Roman"/>
                <w:color w:val="auto"/>
                <w:lang w:val="en-US" w:eastAsia="zh-CN"/>
              </w:rPr>
              <w:t>单条生产线</w:t>
            </w:r>
            <w:r>
              <w:rPr>
                <w:rFonts w:hint="default" w:ascii="Times New Roman" w:hAnsi="Times New Roman" w:cs="Times New Roman"/>
                <w:color w:val="auto"/>
                <w:lang w:val="en-US" w:eastAsia="zh-CN"/>
              </w:rPr>
              <w:t>废气集气罩设计风量</w:t>
            </w:r>
            <w:r>
              <w:rPr>
                <w:rFonts w:hint="eastAsia" w:cs="Times New Roman"/>
                <w:color w:val="auto"/>
                <w:lang w:val="en-US" w:eastAsia="zh-CN"/>
              </w:rPr>
              <w:t>为7560</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/h</w:t>
            </w:r>
            <w:r>
              <w:rPr>
                <w:rFonts w:hint="eastAsia" w:cs="Times New Roman"/>
                <w:color w:val="auto"/>
                <w:lang w:val="en-US" w:eastAsia="zh-CN"/>
              </w:rPr>
              <w:t>·条</w:t>
            </w:r>
            <w:r>
              <w:rPr>
                <w:rFonts w:hint="default" w:ascii="Times New Roman" w:hAnsi="Times New Roman" w:cs="Times New Roman"/>
                <w:color w:val="auto"/>
                <w:lang w:val="en-US" w:eastAsia="zh-CN"/>
              </w:rPr>
              <w:t>，</w:t>
            </w:r>
            <w:r>
              <w:rPr>
                <w:rFonts w:hint="eastAsia" w:cs="Times New Roman"/>
                <w:color w:val="auto"/>
                <w:lang w:val="en-US" w:eastAsia="zh-CN"/>
              </w:rPr>
              <w:t>集气罩</w:t>
            </w:r>
            <w:r>
              <w:rPr>
                <w:rFonts w:hint="default" w:ascii="Times New Roman" w:hAnsi="Times New Roman" w:cs="Times New Roman"/>
                <w:color w:val="auto"/>
                <w:lang w:val="en-US" w:eastAsia="zh-CN"/>
              </w:rPr>
              <w:t>对有组织废气的收集效率能够达到</w:t>
            </w:r>
            <w:r>
              <w:rPr>
                <w:rFonts w:hint="eastAsia" w:cs="Times New Roman"/>
                <w:color w:val="auto"/>
                <w:lang w:val="en-US" w:eastAsia="zh-CN"/>
              </w:rPr>
              <w:t>80</w:t>
            </w:r>
            <w:r>
              <w:rPr>
                <w:rFonts w:hint="default" w:ascii="Times New Roman" w:hAnsi="Times New Roman" w:cs="Times New Roman"/>
                <w:color w:val="auto"/>
                <w:lang w:val="en-US" w:eastAsia="zh-CN"/>
              </w:rPr>
              <w:t>%。</w:t>
            </w:r>
          </w:p>
          <w:p>
            <w:pPr>
              <w:pStyle w:val="43"/>
              <w:bidi w:val="0"/>
              <w:rPr>
                <w:rFonts w:hint="default" w:ascii="Times New Roman" w:hAnsi="Times New Roman" w:cs="Times New Roman"/>
                <w:color w:val="auto"/>
                <w:lang w:val="en-US" w:eastAsia="zh-CN"/>
              </w:rPr>
            </w:pPr>
            <w:r>
              <w:rPr>
                <w:rFonts w:hint="eastAsia" w:cs="Times New Roman"/>
                <w:color w:val="0000FF"/>
                <w:lang w:val="en-US" w:eastAsia="zh-CN"/>
              </w:rPr>
              <w:t>拟建项目</w:t>
            </w:r>
            <w:r>
              <w:rPr>
                <w:rFonts w:hint="eastAsia" w:cs="Times New Roman"/>
                <w:color w:val="0000FF"/>
                <w:sz w:val="21"/>
                <w:szCs w:val="21"/>
                <w:lang w:val="en-US" w:eastAsia="zh-CN"/>
              </w:rPr>
              <w:t>以“单条PP打包带生产线+单条PET打包带生产线”为组合形式，生产线中</w:t>
            </w:r>
            <w:r>
              <w:rPr>
                <w:rFonts w:hint="default" w:ascii="Times New Roman" w:hAnsi="Times New Roman" w:cs="Times New Roman"/>
                <w:color w:val="0000FF"/>
                <w:sz w:val="21"/>
                <w:szCs w:val="21"/>
                <w:lang w:val="en-US" w:eastAsia="zh-CN"/>
              </w:rPr>
              <w:t>挤塑废气</w:t>
            </w:r>
            <w:r>
              <w:rPr>
                <w:rFonts w:hint="eastAsia" w:ascii="Times New Roman" w:hAnsi="Times New Roman" w:cs="Times New Roman"/>
                <w:color w:val="0000FF"/>
                <w:sz w:val="21"/>
                <w:szCs w:val="21"/>
                <w:lang w:val="en-US" w:eastAsia="zh-CN"/>
              </w:rPr>
              <w:t>、拉伸废气及定型废气</w:t>
            </w:r>
            <w:r>
              <w:rPr>
                <w:rFonts w:hint="default" w:ascii="Times New Roman" w:hAnsi="Times New Roman" w:cs="Times New Roman"/>
                <w:color w:val="0000FF"/>
                <w:sz w:val="21"/>
                <w:szCs w:val="21"/>
                <w:lang w:val="en-US" w:eastAsia="zh-CN"/>
              </w:rPr>
              <w:t>采用局部抽风</w:t>
            </w:r>
            <w:r>
              <w:rPr>
                <w:rFonts w:hint="eastAsia" w:ascii="Times New Roman" w:hAnsi="Times New Roman" w:cs="Times New Roman"/>
                <w:color w:val="0000FF"/>
                <w:sz w:val="21"/>
                <w:szCs w:val="21"/>
                <w:lang w:val="en-US" w:eastAsia="zh-CN"/>
              </w:rPr>
              <w:t>，并将上述废气</w:t>
            </w:r>
            <w:r>
              <w:rPr>
                <w:rFonts w:hint="default" w:ascii="Times New Roman" w:hAnsi="Times New Roman" w:cs="Times New Roman"/>
                <w:color w:val="0000FF"/>
                <w:sz w:val="21"/>
                <w:szCs w:val="21"/>
                <w:lang w:val="en-US" w:eastAsia="zh-CN"/>
              </w:rPr>
              <w:t>进行</w:t>
            </w:r>
            <w:r>
              <w:rPr>
                <w:rFonts w:hint="eastAsia" w:cs="Times New Roman"/>
                <w:color w:val="0000FF"/>
                <w:sz w:val="21"/>
                <w:szCs w:val="21"/>
                <w:lang w:val="en-US" w:eastAsia="zh-CN"/>
              </w:rPr>
              <w:t>合并</w:t>
            </w:r>
            <w:r>
              <w:rPr>
                <w:rFonts w:hint="default" w:ascii="Times New Roman" w:hAnsi="Times New Roman" w:cs="Times New Roman"/>
                <w:color w:val="0000FF"/>
                <w:sz w:val="21"/>
                <w:szCs w:val="21"/>
                <w:lang w:val="en-US" w:eastAsia="zh-CN"/>
              </w:rPr>
              <w:t>收集，</w:t>
            </w:r>
            <w:r>
              <w:rPr>
                <w:rFonts w:hint="eastAsia" w:ascii="Times New Roman" w:hAnsi="Times New Roman" w:cs="Times New Roman"/>
                <w:color w:val="0000FF"/>
                <w:sz w:val="21"/>
                <w:szCs w:val="21"/>
                <w:lang w:val="en-US" w:eastAsia="zh-CN"/>
              </w:rPr>
              <w:t>经由“</w:t>
            </w:r>
            <w:r>
              <w:rPr>
                <w:rFonts w:hint="default" w:ascii="Times New Roman" w:hAnsi="Times New Roman" w:cs="Times New Roman"/>
                <w:color w:val="0000FF"/>
                <w:sz w:val="21"/>
                <w:szCs w:val="21"/>
                <w:lang w:val="en-US" w:eastAsia="zh-CN"/>
              </w:rPr>
              <w:t>UV光解+活性炭吸附装置</w:t>
            </w:r>
            <w:r>
              <w:rPr>
                <w:rFonts w:hint="eastAsia" w:ascii="Times New Roman" w:hAnsi="Times New Roman" w:cs="Times New Roman"/>
                <w:color w:val="0000FF"/>
                <w:sz w:val="21"/>
                <w:szCs w:val="21"/>
                <w:lang w:val="en-US" w:eastAsia="zh-CN"/>
              </w:rPr>
              <w:t>”</w:t>
            </w:r>
            <w:r>
              <w:rPr>
                <w:rFonts w:hint="eastAsia" w:cs="Times New Roman"/>
                <w:color w:val="0000FF"/>
                <w:sz w:val="21"/>
                <w:szCs w:val="21"/>
                <w:lang w:val="en-US" w:eastAsia="zh-CN"/>
              </w:rPr>
              <w:t>（共计2套废气处理设备）</w:t>
            </w:r>
            <w:r>
              <w:rPr>
                <w:rFonts w:hint="default" w:ascii="Times New Roman" w:hAnsi="Times New Roman" w:cs="Times New Roman"/>
                <w:color w:val="0000FF"/>
                <w:sz w:val="21"/>
                <w:szCs w:val="21"/>
                <w:lang w:val="en-US" w:eastAsia="zh-CN"/>
              </w:rPr>
              <w:t>处理后，</w:t>
            </w:r>
            <w:r>
              <w:rPr>
                <w:rFonts w:hint="eastAsia" w:cs="Times New Roman"/>
                <w:color w:val="0000FF"/>
                <w:sz w:val="21"/>
                <w:szCs w:val="21"/>
                <w:lang w:val="en-US" w:eastAsia="zh-CN"/>
              </w:rPr>
              <w:t>分别</w:t>
            </w:r>
            <w:r>
              <w:rPr>
                <w:rFonts w:hint="default" w:ascii="Times New Roman" w:hAnsi="Times New Roman" w:cs="Times New Roman"/>
                <w:color w:val="0000FF"/>
                <w:sz w:val="21"/>
                <w:szCs w:val="21"/>
                <w:lang w:val="en-US" w:eastAsia="zh-CN"/>
              </w:rPr>
              <w:t>由1根</w:t>
            </w:r>
            <w:r>
              <w:rPr>
                <w:rFonts w:hint="eastAsia" w:cs="Times New Roman"/>
                <w:color w:val="0000FF"/>
                <w:sz w:val="21"/>
                <w:szCs w:val="21"/>
                <w:lang w:val="en-US" w:eastAsia="zh-CN"/>
              </w:rPr>
              <w:t>15m</w:t>
            </w:r>
            <w:r>
              <w:rPr>
                <w:rFonts w:hint="default" w:ascii="Times New Roman" w:hAnsi="Times New Roman" w:cs="Times New Roman"/>
                <w:color w:val="0000FF"/>
                <w:sz w:val="21"/>
                <w:szCs w:val="21"/>
                <w:lang w:val="en-US" w:eastAsia="zh-CN"/>
              </w:rPr>
              <w:t>高排气筒</w:t>
            </w:r>
            <w:r>
              <w:rPr>
                <w:rFonts w:hint="eastAsia" w:cs="Times New Roman"/>
                <w:color w:val="0000FF"/>
                <w:sz w:val="21"/>
                <w:szCs w:val="21"/>
                <w:lang w:val="en-US" w:eastAsia="zh-CN"/>
              </w:rPr>
              <w:t>（共计2根排气筒）</w:t>
            </w:r>
            <w:r>
              <w:rPr>
                <w:rFonts w:hint="default" w:ascii="Times New Roman" w:hAnsi="Times New Roman" w:cs="Times New Roman"/>
                <w:color w:val="0000FF"/>
                <w:sz w:val="21"/>
                <w:szCs w:val="21"/>
                <w:lang w:val="en-US" w:eastAsia="zh-CN"/>
              </w:rPr>
              <w:t>排放</w:t>
            </w:r>
            <w:r>
              <w:rPr>
                <w:rFonts w:hint="eastAsia" w:ascii="Times New Roman" w:hAnsi="Times New Roman" w:cs="Times New Roman"/>
                <w:color w:val="0000FF"/>
                <w:sz w:val="21"/>
                <w:szCs w:val="21"/>
                <w:lang w:val="en-US" w:eastAsia="zh-CN"/>
              </w:rPr>
              <w:t>，因此单台废气处理装置收集废气为15120m</w:t>
            </w:r>
            <w:r>
              <w:rPr>
                <w:rFonts w:hint="eastAsia" w:ascii="Times New Roman" w:hAnsi="Times New Roman" w:cs="Times New Roman"/>
                <w:color w:val="0000FF"/>
                <w:sz w:val="21"/>
                <w:szCs w:val="21"/>
                <w:vertAlign w:val="superscript"/>
                <w:lang w:val="en-US" w:eastAsia="zh-CN"/>
              </w:rPr>
              <w:t>3</w:t>
            </w:r>
            <w:r>
              <w:rPr>
                <w:rFonts w:hint="eastAsia" w:ascii="Times New Roman" w:hAnsi="Times New Roman" w:cs="Times New Roman"/>
                <w:color w:val="0000FF"/>
                <w:sz w:val="21"/>
                <w:szCs w:val="21"/>
                <w:lang w:val="en-US" w:eastAsia="zh-CN"/>
              </w:rPr>
              <w:t>/h。</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拟建项目废气经集气罩收集后，采用UV光解+活性炭吸附装置吸附处理，非甲烷总烃有组织总产生量为3.01t/a，总产生速率为0.38kg/h，产生浓度为12mg/m</w:t>
            </w:r>
            <w:r>
              <w:rPr>
                <w:rFonts w:hint="eastAsia" w:cs="Times New Roman"/>
                <w:color w:val="auto"/>
                <w:sz w:val="21"/>
                <w:szCs w:val="21"/>
                <w:vertAlign w:val="superscript"/>
                <w:lang w:val="en-US" w:eastAsia="zh-CN"/>
              </w:rPr>
              <w:t>3</w:t>
            </w:r>
            <w:r>
              <w:rPr>
                <w:rFonts w:hint="eastAsia" w:cs="Times New Roman"/>
                <w:color w:val="auto"/>
                <w:sz w:val="21"/>
                <w:szCs w:val="21"/>
                <w:lang w:val="en-US" w:eastAsia="zh-CN"/>
              </w:rPr>
              <w:t>，“UV光解</w:t>
            </w:r>
            <w:r>
              <w:rPr>
                <w:rFonts w:hint="default" w:cs="Times New Roman"/>
                <w:color w:val="auto"/>
                <w:sz w:val="21"/>
                <w:szCs w:val="21"/>
                <w:lang w:val="en-US" w:eastAsia="zh-CN"/>
              </w:rPr>
              <w:t>+活性炭吸附装置</w:t>
            </w:r>
            <w:r>
              <w:rPr>
                <w:rFonts w:hint="eastAsia" w:cs="Times New Roman"/>
                <w:color w:val="auto"/>
                <w:sz w:val="21"/>
                <w:szCs w:val="21"/>
                <w:lang w:val="en-US" w:eastAsia="zh-CN"/>
              </w:rPr>
              <w:t>”处理效率为85%，总排放量为0.45t/a，总排放速率为0.06kg/h，排放浓度为2mg/m</w:t>
            </w:r>
            <w:r>
              <w:rPr>
                <w:rFonts w:hint="eastAsia" w:cs="Times New Roman"/>
                <w:color w:val="auto"/>
                <w:sz w:val="21"/>
                <w:szCs w:val="21"/>
                <w:vertAlign w:val="superscript"/>
                <w:lang w:val="en-US" w:eastAsia="zh-CN"/>
              </w:rPr>
              <w:t>3</w:t>
            </w:r>
            <w:r>
              <w:rPr>
                <w:rFonts w:hint="default" w:ascii="Times New Roman" w:hAnsi="Times New Roman" w:cs="Times New Roman"/>
                <w:color w:val="auto"/>
                <w:lang w:val="en-US" w:eastAsia="zh-CN"/>
              </w:rPr>
              <w:t>。</w:t>
            </w:r>
            <w:r>
              <w:rPr>
                <w:rFonts w:hint="eastAsia" w:cs="Times New Roman"/>
                <w:color w:val="auto"/>
                <w:lang w:val="en-US" w:eastAsia="zh-CN"/>
              </w:rPr>
              <w:t>非甲烷总烃无组织产生量及排放量均为0.75t/a，</w:t>
            </w:r>
            <w:r>
              <w:rPr>
                <w:rFonts w:hint="eastAsia" w:cs="Times New Roman"/>
                <w:color w:val="auto"/>
                <w:sz w:val="21"/>
                <w:szCs w:val="21"/>
                <w:lang w:val="en-US" w:eastAsia="zh-CN"/>
              </w:rPr>
              <w:t>产生速率及排放速率均为0.38kg/h。拟建</w:t>
            </w:r>
            <w:r>
              <w:rPr>
                <w:rFonts w:hint="default" w:ascii="Times New Roman" w:hAnsi="Times New Roman" w:eastAsia="宋体" w:cs="Times New Roman"/>
                <w:color w:val="auto"/>
                <w:sz w:val="21"/>
                <w:szCs w:val="21"/>
                <w:lang w:val="en-US" w:eastAsia="zh-CN"/>
              </w:rPr>
              <w:t>项目</w:t>
            </w:r>
            <w:r>
              <w:rPr>
                <w:rFonts w:hint="eastAsia" w:cs="Times New Roman"/>
                <w:color w:val="auto"/>
                <w:sz w:val="21"/>
                <w:szCs w:val="21"/>
                <w:lang w:val="en-US" w:eastAsia="zh-CN"/>
              </w:rPr>
              <w:t>生产工艺</w:t>
            </w:r>
            <w:r>
              <w:rPr>
                <w:rFonts w:hint="default" w:ascii="Times New Roman" w:hAnsi="Times New Roman" w:eastAsia="宋体" w:cs="Times New Roman"/>
                <w:color w:val="auto"/>
                <w:sz w:val="21"/>
                <w:szCs w:val="21"/>
                <w:lang w:val="en-US" w:eastAsia="zh-CN"/>
              </w:rPr>
              <w:t>废气产生及排放核算源强一览表详见表</w:t>
            </w:r>
            <w:r>
              <w:rPr>
                <w:rFonts w:hint="eastAsia"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-1。</w:t>
            </w: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auto"/>
                <w:sz w:val="21"/>
                <w:szCs w:val="21"/>
                <w:highlight w:val="yellow"/>
              </w:rPr>
            </w:pPr>
          </w:p>
          <w:p>
            <w:pPr>
              <w:spacing w:line="360" w:lineRule="auto"/>
              <w:jc w:val="center"/>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表</w:t>
            </w:r>
            <w:r>
              <w:rPr>
                <w:rFonts w:hint="eastAsia" w:cs="Times New Roman"/>
                <w:color w:val="0000FF"/>
                <w:sz w:val="21"/>
                <w:szCs w:val="21"/>
                <w:highlight w:val="none"/>
                <w:lang w:val="en-US" w:eastAsia="zh-CN"/>
              </w:rPr>
              <w:t>4</w:t>
            </w:r>
            <w:r>
              <w:rPr>
                <w:rFonts w:hint="default" w:ascii="Times New Roman" w:hAnsi="Times New Roman" w:eastAsia="宋体" w:cs="Times New Roman"/>
                <w:color w:val="0000FF"/>
                <w:sz w:val="21"/>
                <w:szCs w:val="21"/>
                <w:highlight w:val="none"/>
                <w:lang w:val="en-US" w:eastAsia="zh-CN"/>
              </w:rPr>
              <w:t>-1</w:t>
            </w:r>
            <w:r>
              <w:rPr>
                <w:rFonts w:hint="default" w:ascii="Times New Roman" w:hAnsi="Times New Roman" w:eastAsia="宋体" w:cs="Times New Roman"/>
                <w:color w:val="0000FF"/>
                <w:sz w:val="21"/>
                <w:szCs w:val="21"/>
                <w:highlight w:val="none"/>
              </w:rPr>
              <w:t xml:space="preserve">  </w:t>
            </w:r>
            <w:r>
              <w:rPr>
                <w:rFonts w:hint="eastAsia" w:cs="Times New Roman"/>
                <w:color w:val="0000FF"/>
                <w:sz w:val="21"/>
                <w:szCs w:val="21"/>
                <w:highlight w:val="none"/>
                <w:lang w:val="en-US" w:eastAsia="zh-CN"/>
              </w:rPr>
              <w:t>拟建</w:t>
            </w:r>
            <w:r>
              <w:rPr>
                <w:rFonts w:hint="default" w:ascii="Times New Roman" w:hAnsi="Times New Roman" w:eastAsia="宋体" w:cs="Times New Roman"/>
                <w:color w:val="0000FF"/>
                <w:sz w:val="21"/>
                <w:szCs w:val="21"/>
                <w:highlight w:val="none"/>
                <w:lang w:val="en-US" w:eastAsia="zh-CN"/>
              </w:rPr>
              <w:t>项目</w:t>
            </w:r>
            <w:r>
              <w:rPr>
                <w:rFonts w:hint="eastAsia" w:cs="Times New Roman"/>
                <w:color w:val="0000FF"/>
                <w:sz w:val="21"/>
                <w:szCs w:val="21"/>
                <w:highlight w:val="none"/>
                <w:lang w:val="en-US" w:eastAsia="zh-CN"/>
              </w:rPr>
              <w:t>生产工艺</w:t>
            </w:r>
            <w:r>
              <w:rPr>
                <w:rFonts w:hint="default" w:ascii="Times New Roman" w:hAnsi="Times New Roman" w:eastAsia="宋体" w:cs="Times New Roman"/>
                <w:color w:val="0000FF"/>
                <w:sz w:val="21"/>
                <w:szCs w:val="21"/>
                <w:highlight w:val="none"/>
              </w:rPr>
              <w:t>废气</w:t>
            </w:r>
            <w:r>
              <w:rPr>
                <w:rFonts w:hint="default" w:ascii="Times New Roman" w:hAnsi="Times New Roman" w:eastAsia="宋体" w:cs="Times New Roman"/>
                <w:color w:val="0000FF"/>
                <w:sz w:val="21"/>
                <w:szCs w:val="21"/>
                <w:highlight w:val="none"/>
                <w:lang w:val="en-US" w:eastAsia="zh-CN"/>
              </w:rPr>
              <w:t>产生及</w:t>
            </w:r>
            <w:r>
              <w:rPr>
                <w:rFonts w:hint="default" w:ascii="Times New Roman" w:hAnsi="Times New Roman" w:eastAsia="宋体" w:cs="Times New Roman"/>
                <w:color w:val="0000FF"/>
                <w:sz w:val="21"/>
                <w:szCs w:val="21"/>
                <w:highlight w:val="none"/>
              </w:rPr>
              <w:t>排放情况表</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452"/>
              <w:gridCol w:w="591"/>
              <w:gridCol w:w="548"/>
              <w:gridCol w:w="607"/>
              <w:gridCol w:w="428"/>
              <w:gridCol w:w="596"/>
              <w:gridCol w:w="631"/>
              <w:gridCol w:w="535"/>
              <w:gridCol w:w="807"/>
              <w:gridCol w:w="452"/>
              <w:gridCol w:w="491"/>
              <w:gridCol w:w="512"/>
              <w:gridCol w:w="592"/>
              <w:gridCol w:w="599"/>
              <w:gridCol w:w="3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工序</w:t>
                  </w:r>
                </w:p>
              </w:tc>
              <w:tc>
                <w:tcPr>
                  <w:tcW w:w="59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装置</w:t>
                  </w:r>
                </w:p>
              </w:tc>
              <w:tc>
                <w:tcPr>
                  <w:tcW w:w="54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污染源</w:t>
                  </w:r>
                </w:p>
              </w:tc>
              <w:tc>
                <w:tcPr>
                  <w:tcW w:w="60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eastAsia="zh-CN"/>
                    </w:rPr>
                  </w:pPr>
                  <w:r>
                    <w:rPr>
                      <w:rFonts w:hint="eastAsia" w:cs="Times New Roman"/>
                      <w:color w:val="0000FF"/>
                      <w:sz w:val="18"/>
                      <w:szCs w:val="18"/>
                      <w:lang w:val="en-US" w:eastAsia="zh-CN"/>
                    </w:rPr>
                    <w:t>污染物</w:t>
                  </w:r>
                </w:p>
              </w:tc>
              <w:tc>
                <w:tcPr>
                  <w:tcW w:w="219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污染物产生</w:t>
                  </w:r>
                </w:p>
              </w:tc>
              <w:tc>
                <w:tcPr>
                  <w:tcW w:w="125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lang w:val="en-US" w:eastAsia="zh-CN"/>
                    </w:rPr>
                    <w:t>治理情况</w:t>
                  </w:r>
                </w:p>
              </w:tc>
              <w:tc>
                <w:tcPr>
                  <w:tcW w:w="2194"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cs="Times New Roman"/>
                      <w:color w:val="0000FF"/>
                      <w:sz w:val="18"/>
                      <w:szCs w:val="18"/>
                    </w:rPr>
                    <w:t>排放情况</w:t>
                  </w:r>
                </w:p>
              </w:tc>
              <w:tc>
                <w:tcPr>
                  <w:tcW w:w="38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cs="Times New Roman"/>
                      <w:color w:val="0000FF"/>
                      <w:sz w:val="18"/>
                      <w:szCs w:val="18"/>
                    </w:rPr>
                    <w:t>排放时间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p>
              </w:tc>
              <w:tc>
                <w:tcPr>
                  <w:tcW w:w="5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p>
              </w:tc>
              <w:tc>
                <w:tcPr>
                  <w:tcW w:w="54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p>
              </w:tc>
              <w:tc>
                <w:tcPr>
                  <w:tcW w:w="60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p>
              </w:tc>
              <w:tc>
                <w:tcPr>
                  <w:tcW w:w="4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r>
                    <w:rPr>
                      <w:rFonts w:hint="eastAsia" w:cs="Times New Roman"/>
                      <w:color w:val="0000FF"/>
                      <w:sz w:val="18"/>
                      <w:szCs w:val="18"/>
                      <w:lang w:val="en-US" w:eastAsia="zh-CN"/>
                    </w:rPr>
                    <w:t>核算方法</w:t>
                  </w:r>
                </w:p>
              </w:tc>
              <w:tc>
                <w:tcPr>
                  <w:tcW w:w="59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废气产生量（m</w:t>
                  </w:r>
                  <w:r>
                    <w:rPr>
                      <w:rFonts w:hint="eastAsia" w:cs="Times New Roman"/>
                      <w:color w:val="0000FF"/>
                      <w:sz w:val="18"/>
                      <w:szCs w:val="18"/>
                      <w:vertAlign w:val="superscript"/>
                      <w:lang w:val="en-US" w:eastAsia="zh-CN"/>
                    </w:rPr>
                    <w:t>3</w:t>
                  </w:r>
                  <w:r>
                    <w:rPr>
                      <w:rFonts w:hint="eastAsia" w:cs="Times New Roman"/>
                      <w:color w:val="0000FF"/>
                      <w:sz w:val="18"/>
                      <w:szCs w:val="18"/>
                      <w:lang w:val="en-US" w:eastAsia="zh-CN"/>
                    </w:rPr>
                    <w:t>/h）</w:t>
                  </w:r>
                </w:p>
              </w:tc>
              <w:tc>
                <w:tcPr>
                  <w:tcW w:w="63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rPr>
                    <w:t>产生</w:t>
                  </w:r>
                </w:p>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rPr>
                    <w:t>浓度</w:t>
                  </w:r>
                </w:p>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eastAsia="zh-CN"/>
                    </w:rPr>
                  </w:pPr>
                  <w:r>
                    <w:rPr>
                      <w:rFonts w:hint="default" w:ascii="Times New Roman" w:hAnsi="Times New Roman" w:cs="Times New Roman"/>
                      <w:color w:val="0000FF"/>
                      <w:sz w:val="18"/>
                      <w:szCs w:val="18"/>
                      <w:lang w:val="en-US" w:eastAsia="zh-CN"/>
                    </w:rPr>
                    <w:t>(</w:t>
                  </w:r>
                  <w:r>
                    <w:rPr>
                      <w:rFonts w:hint="default" w:ascii="Times New Roman" w:hAnsi="Times New Roman" w:cs="Times New Roman"/>
                      <w:color w:val="0000FF"/>
                      <w:sz w:val="18"/>
                      <w:szCs w:val="18"/>
                    </w:rPr>
                    <w:t>mg/m</w:t>
                  </w:r>
                  <w:r>
                    <w:rPr>
                      <w:rFonts w:hint="default" w:ascii="Times New Roman" w:hAnsi="Times New Roman" w:cs="Times New Roman"/>
                      <w:color w:val="0000FF"/>
                      <w:sz w:val="18"/>
                      <w:szCs w:val="18"/>
                      <w:vertAlign w:val="superscript"/>
                    </w:rPr>
                    <w:t>3</w:t>
                  </w:r>
                  <w:r>
                    <w:rPr>
                      <w:rFonts w:hint="default" w:ascii="Times New Roman" w:hAnsi="Times New Roman" w:cs="Times New Roman"/>
                      <w:color w:val="0000FF"/>
                      <w:sz w:val="18"/>
                      <w:szCs w:val="18"/>
                      <w:lang w:val="en-US" w:eastAsia="zh-CN"/>
                    </w:rPr>
                    <w:t>)</w:t>
                  </w:r>
                </w:p>
              </w:tc>
              <w:tc>
                <w:tcPr>
                  <w:tcW w:w="53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eastAsia="zh-CN"/>
                    </w:rPr>
                  </w:pPr>
                  <w:r>
                    <w:rPr>
                      <w:rFonts w:hint="default" w:ascii="Times New Roman" w:hAnsi="Times New Roman" w:cs="Times New Roman"/>
                      <w:color w:val="0000FF"/>
                      <w:sz w:val="18"/>
                      <w:szCs w:val="18"/>
                    </w:rPr>
                    <w:t>产生量</w:t>
                  </w:r>
                  <w:r>
                    <w:rPr>
                      <w:rFonts w:hint="default" w:ascii="Times New Roman" w:hAnsi="Times New Roman" w:cs="Times New Roman"/>
                      <w:color w:val="0000FF"/>
                      <w:sz w:val="18"/>
                      <w:szCs w:val="18"/>
                      <w:lang w:val="en-US" w:eastAsia="zh-CN"/>
                    </w:rPr>
                    <w:t>(</w:t>
                  </w:r>
                  <w:r>
                    <w:rPr>
                      <w:rFonts w:hint="default" w:ascii="Times New Roman" w:hAnsi="Times New Roman" w:cs="Times New Roman"/>
                      <w:color w:val="0000FF"/>
                      <w:sz w:val="18"/>
                      <w:szCs w:val="18"/>
                    </w:rPr>
                    <w:t>t/a</w:t>
                  </w:r>
                  <w:r>
                    <w:rPr>
                      <w:rFonts w:hint="default" w:ascii="Times New Roman" w:hAnsi="Times New Roman" w:cs="Times New Roman"/>
                      <w:color w:val="0000FF"/>
                      <w:sz w:val="18"/>
                      <w:szCs w:val="18"/>
                      <w:lang w:val="en-US" w:eastAsia="zh-CN"/>
                    </w:rPr>
                    <w:t>)</w:t>
                  </w:r>
                </w:p>
              </w:tc>
              <w:tc>
                <w:tcPr>
                  <w:tcW w:w="8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工艺</w:t>
                  </w: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cs="Times New Roman"/>
                      <w:color w:val="0000FF"/>
                      <w:sz w:val="18"/>
                      <w:szCs w:val="18"/>
                      <w:lang w:val="en-US" w:eastAsia="zh-CN"/>
                    </w:rPr>
                    <w:t>效率</w:t>
                  </w:r>
                </w:p>
              </w:tc>
              <w:tc>
                <w:tcPr>
                  <w:tcW w:w="4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eastAsia="zh-CN"/>
                    </w:rPr>
                  </w:pPr>
                  <w:r>
                    <w:rPr>
                      <w:rFonts w:hint="eastAsia" w:cs="Times New Roman"/>
                      <w:color w:val="0000FF"/>
                      <w:sz w:val="18"/>
                      <w:szCs w:val="18"/>
                      <w:lang w:val="en-US" w:eastAsia="zh-CN"/>
                    </w:rPr>
                    <w:t>核算方法</w:t>
                  </w:r>
                </w:p>
              </w:tc>
              <w:tc>
                <w:tcPr>
                  <w:tcW w:w="51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eastAsia="zh-CN"/>
                    </w:rPr>
                  </w:pPr>
                  <w:r>
                    <w:rPr>
                      <w:rFonts w:hint="eastAsia" w:cs="Times New Roman"/>
                      <w:color w:val="0000FF"/>
                      <w:sz w:val="18"/>
                      <w:szCs w:val="18"/>
                      <w:lang w:val="en-US" w:eastAsia="zh-CN"/>
                    </w:rPr>
                    <w:t>废气排放量（m</w:t>
                  </w:r>
                  <w:r>
                    <w:rPr>
                      <w:rFonts w:hint="eastAsia" w:cs="Times New Roman"/>
                      <w:color w:val="0000FF"/>
                      <w:sz w:val="18"/>
                      <w:szCs w:val="18"/>
                      <w:vertAlign w:val="superscript"/>
                      <w:lang w:val="en-US" w:eastAsia="zh-CN"/>
                    </w:rPr>
                    <w:t>3</w:t>
                  </w:r>
                  <w:r>
                    <w:rPr>
                      <w:rFonts w:hint="eastAsia" w:cs="Times New Roman"/>
                      <w:color w:val="0000FF"/>
                      <w:sz w:val="18"/>
                      <w:szCs w:val="18"/>
                      <w:lang w:val="en-US" w:eastAsia="zh-CN"/>
                    </w:rPr>
                    <w:t>/h）</w:t>
                  </w:r>
                </w:p>
              </w:tc>
              <w:tc>
                <w:tcPr>
                  <w:tcW w:w="59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排放</w:t>
                  </w:r>
                </w:p>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rPr>
                    <w:t>浓度</w:t>
                  </w:r>
                </w:p>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eastAsia="zh-CN"/>
                    </w:rPr>
                  </w:pPr>
                  <w:r>
                    <w:rPr>
                      <w:rFonts w:hint="default" w:ascii="Times New Roman" w:hAnsi="Times New Roman" w:cs="Times New Roman"/>
                      <w:color w:val="0000FF"/>
                      <w:sz w:val="18"/>
                      <w:szCs w:val="18"/>
                      <w:lang w:val="en-US" w:eastAsia="zh-CN"/>
                    </w:rPr>
                    <w:t>(</w:t>
                  </w:r>
                  <w:r>
                    <w:rPr>
                      <w:rFonts w:hint="default" w:ascii="Times New Roman" w:hAnsi="Times New Roman" w:cs="Times New Roman"/>
                      <w:color w:val="0000FF"/>
                      <w:sz w:val="18"/>
                      <w:szCs w:val="18"/>
                    </w:rPr>
                    <w:t>mg/m</w:t>
                  </w:r>
                  <w:r>
                    <w:rPr>
                      <w:rFonts w:hint="default" w:ascii="Times New Roman" w:hAnsi="Times New Roman" w:cs="Times New Roman"/>
                      <w:color w:val="0000FF"/>
                      <w:sz w:val="18"/>
                      <w:szCs w:val="18"/>
                      <w:vertAlign w:val="superscript"/>
                    </w:rPr>
                    <w:t>3</w:t>
                  </w:r>
                  <w:r>
                    <w:rPr>
                      <w:rFonts w:hint="default" w:ascii="Times New Roman" w:hAnsi="Times New Roman" w:cs="Times New Roman"/>
                      <w:color w:val="0000FF"/>
                      <w:sz w:val="18"/>
                      <w:szCs w:val="18"/>
                      <w:lang w:val="en-US" w:eastAsia="zh-CN"/>
                    </w:rPr>
                    <w:t>)</w:t>
                  </w:r>
                </w:p>
              </w:tc>
              <w:tc>
                <w:tcPr>
                  <w:tcW w:w="59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r>
                    <w:rPr>
                      <w:rFonts w:hint="eastAsia" w:cs="Times New Roman"/>
                      <w:color w:val="0000FF"/>
                      <w:sz w:val="18"/>
                      <w:szCs w:val="18"/>
                      <w:lang w:val="en-US" w:eastAsia="zh-CN"/>
                    </w:rPr>
                    <w:t>排放</w:t>
                  </w:r>
                  <w:r>
                    <w:rPr>
                      <w:rFonts w:hint="default" w:ascii="Times New Roman" w:hAnsi="Times New Roman" w:cs="Times New Roman"/>
                      <w:color w:val="0000FF"/>
                      <w:sz w:val="18"/>
                      <w:szCs w:val="18"/>
                    </w:rPr>
                    <w:t>量</w:t>
                  </w:r>
                  <w:r>
                    <w:rPr>
                      <w:rFonts w:hint="default" w:ascii="Times New Roman" w:hAnsi="Times New Roman" w:cs="Times New Roman"/>
                      <w:color w:val="0000FF"/>
                      <w:sz w:val="18"/>
                      <w:szCs w:val="18"/>
                      <w:lang w:val="en-US" w:eastAsia="zh-CN"/>
                    </w:rPr>
                    <w:t>(</w:t>
                  </w:r>
                  <w:r>
                    <w:rPr>
                      <w:rFonts w:hint="default" w:ascii="Times New Roman" w:hAnsi="Times New Roman" w:cs="Times New Roman"/>
                      <w:color w:val="0000FF"/>
                      <w:sz w:val="18"/>
                      <w:szCs w:val="18"/>
                    </w:rPr>
                    <w:t>t/a</w:t>
                  </w:r>
                  <w:r>
                    <w:rPr>
                      <w:rFonts w:hint="default" w:ascii="Times New Roman" w:hAnsi="Times New Roman" w:cs="Times New Roman"/>
                      <w:color w:val="0000FF"/>
                      <w:sz w:val="18"/>
                      <w:szCs w:val="18"/>
                      <w:lang w:val="en-US" w:eastAsia="zh-CN"/>
                    </w:rPr>
                    <w:t>)</w:t>
                  </w:r>
                </w:p>
              </w:tc>
              <w:tc>
                <w:tcPr>
                  <w:tcW w:w="38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挤出、拉伸</w:t>
                  </w:r>
                  <w:r>
                    <w:rPr>
                      <w:rFonts w:hint="default" w:ascii="Times New Roman" w:hAnsi="Times New Roman" w:eastAsia="宋体" w:cs="Times New Roman"/>
                      <w:color w:val="0000FF"/>
                      <w:sz w:val="18"/>
                      <w:szCs w:val="18"/>
                      <w:lang w:val="en-US" w:eastAsia="zh-CN"/>
                    </w:rPr>
                    <w:t>及</w:t>
                  </w:r>
                  <w:r>
                    <w:rPr>
                      <w:rFonts w:hint="eastAsia" w:cs="Times New Roman"/>
                      <w:color w:val="0000FF"/>
                      <w:sz w:val="18"/>
                      <w:szCs w:val="18"/>
                      <w:lang w:val="en-US" w:eastAsia="zh-CN"/>
                    </w:rPr>
                    <w:t>定型</w:t>
                  </w:r>
                </w:p>
              </w:tc>
              <w:tc>
                <w:tcPr>
                  <w:tcW w:w="5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PP生产线1#+PET生产线1#</w:t>
                  </w:r>
                </w:p>
              </w:tc>
              <w:tc>
                <w:tcPr>
                  <w:tcW w:w="54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排气筒1#</w:t>
                  </w:r>
                </w:p>
              </w:tc>
              <w:tc>
                <w:tcPr>
                  <w:tcW w:w="6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highlight w:val="none"/>
                      <w:lang w:val="en-US" w:eastAsia="zh-CN"/>
                    </w:rPr>
                  </w:pPr>
                  <w:r>
                    <w:rPr>
                      <w:rFonts w:hint="eastAsia" w:cs="Times New Roman"/>
                      <w:color w:val="0000FF"/>
                      <w:sz w:val="18"/>
                      <w:szCs w:val="18"/>
                      <w:highlight w:val="none"/>
                      <w:lang w:val="en-US" w:eastAsia="zh-CN"/>
                    </w:rPr>
                    <w:t>非甲烷总烃</w:t>
                  </w:r>
                </w:p>
              </w:tc>
              <w:tc>
                <w:tcPr>
                  <w:tcW w:w="4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59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15120</w:t>
                  </w:r>
                </w:p>
              </w:tc>
              <w:tc>
                <w:tcPr>
                  <w:tcW w:w="63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12</w:t>
                  </w:r>
                </w:p>
              </w:tc>
              <w:tc>
                <w:tcPr>
                  <w:tcW w:w="53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1.51</w:t>
                  </w:r>
                </w:p>
              </w:tc>
              <w:tc>
                <w:tcPr>
                  <w:tcW w:w="8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集气罩</w:t>
                  </w:r>
                  <w:r>
                    <w:rPr>
                      <w:rFonts w:hint="eastAsia" w:cs="Times New Roman"/>
                      <w:color w:val="0000FF"/>
                      <w:sz w:val="18"/>
                      <w:szCs w:val="18"/>
                      <w:lang w:val="en-US" w:eastAsia="zh-CN"/>
                    </w:rPr>
                    <w:t>收集</w:t>
                  </w:r>
                  <w:r>
                    <w:rPr>
                      <w:rFonts w:hint="default" w:ascii="Times New Roman" w:hAnsi="Times New Roman" w:eastAsia="宋体" w:cs="Times New Roman"/>
                      <w:color w:val="0000FF"/>
                      <w:sz w:val="18"/>
                      <w:szCs w:val="18"/>
                      <w:lang w:val="en-US" w:eastAsia="zh-CN"/>
                    </w:rPr>
                    <w:t>，</w:t>
                  </w:r>
                  <w:r>
                    <w:rPr>
                      <w:rFonts w:hint="eastAsia" w:cs="Times New Roman"/>
                      <w:color w:val="0000FF"/>
                      <w:sz w:val="18"/>
                      <w:szCs w:val="18"/>
                      <w:lang w:val="en-US" w:eastAsia="zh-CN"/>
                    </w:rPr>
                    <w:t>UV光解</w:t>
                  </w:r>
                  <w:r>
                    <w:rPr>
                      <w:rFonts w:hint="default" w:ascii="Times New Roman" w:hAnsi="Times New Roman" w:eastAsia="宋体" w:cs="Times New Roman"/>
                      <w:color w:val="0000FF"/>
                      <w:sz w:val="18"/>
                      <w:szCs w:val="18"/>
                      <w:lang w:val="en-US" w:eastAsia="zh-CN"/>
                    </w:rPr>
                    <w:t>+活性炭吸附装置处理后</w:t>
                  </w: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85</w:t>
                  </w:r>
                  <w:r>
                    <w:rPr>
                      <w:rFonts w:hint="default" w:ascii="Times New Roman" w:hAnsi="Times New Roman" w:eastAsia="宋体" w:cs="Times New Roman"/>
                      <w:color w:val="0000FF"/>
                      <w:sz w:val="18"/>
                      <w:szCs w:val="18"/>
                      <w:lang w:val="en-US" w:eastAsia="zh-CN"/>
                    </w:rPr>
                    <w:t>%</w:t>
                  </w:r>
                </w:p>
              </w:tc>
              <w:tc>
                <w:tcPr>
                  <w:tcW w:w="4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highlight w:val="none"/>
                      <w:lang w:val="en-US" w:eastAsia="zh-CN"/>
                    </w:rPr>
                    <w:t>物料平衡</w:t>
                  </w:r>
                </w:p>
              </w:tc>
              <w:tc>
                <w:tcPr>
                  <w:tcW w:w="51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15120</w:t>
                  </w:r>
                </w:p>
              </w:tc>
              <w:tc>
                <w:tcPr>
                  <w:tcW w:w="59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1.8</w:t>
                  </w:r>
                </w:p>
              </w:tc>
              <w:tc>
                <w:tcPr>
                  <w:tcW w:w="59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0.225</w:t>
                  </w:r>
                </w:p>
              </w:tc>
              <w:tc>
                <w:tcPr>
                  <w:tcW w:w="38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7920</w:t>
                  </w:r>
                  <w:r>
                    <w:rPr>
                      <w:rFonts w:hint="default" w:ascii="Times New Roman" w:hAnsi="Times New Roman" w:eastAsia="宋体" w:cs="Times New Roman"/>
                      <w:color w:val="0000FF"/>
                      <w:sz w:val="18"/>
                      <w:szCs w:val="18"/>
                      <w:lang w:val="en-US" w:eastAsia="zh-CN"/>
                    </w:rPr>
                    <w:t>h/a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5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PP生产线2#+PET生产线2#</w:t>
                  </w:r>
                </w:p>
              </w:tc>
              <w:tc>
                <w:tcPr>
                  <w:tcW w:w="54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排气筒2#</w:t>
                  </w:r>
                </w:p>
              </w:tc>
              <w:tc>
                <w:tcPr>
                  <w:tcW w:w="6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highlight w:val="none"/>
                      <w:lang w:val="en-US" w:eastAsia="zh-CN"/>
                    </w:rPr>
                    <w:t>非甲烷总烃</w:t>
                  </w:r>
                </w:p>
              </w:tc>
              <w:tc>
                <w:tcPr>
                  <w:tcW w:w="4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highlight w:val="none"/>
                      <w:lang w:val="en-US" w:eastAsia="zh-CN"/>
                    </w:rPr>
                    <w:t>物料平衡</w:t>
                  </w:r>
                </w:p>
              </w:tc>
              <w:tc>
                <w:tcPr>
                  <w:tcW w:w="59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15120</w:t>
                  </w:r>
                </w:p>
              </w:tc>
              <w:tc>
                <w:tcPr>
                  <w:tcW w:w="63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12</w:t>
                  </w:r>
                </w:p>
              </w:tc>
              <w:tc>
                <w:tcPr>
                  <w:tcW w:w="53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1.51</w:t>
                  </w:r>
                </w:p>
              </w:tc>
              <w:tc>
                <w:tcPr>
                  <w:tcW w:w="8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集气罩</w:t>
                  </w:r>
                  <w:r>
                    <w:rPr>
                      <w:rFonts w:hint="eastAsia" w:cs="Times New Roman"/>
                      <w:color w:val="0000FF"/>
                      <w:sz w:val="18"/>
                      <w:szCs w:val="18"/>
                      <w:lang w:val="en-US" w:eastAsia="zh-CN"/>
                    </w:rPr>
                    <w:t>收集</w:t>
                  </w:r>
                  <w:r>
                    <w:rPr>
                      <w:rFonts w:hint="default" w:ascii="Times New Roman" w:hAnsi="Times New Roman" w:eastAsia="宋体" w:cs="Times New Roman"/>
                      <w:color w:val="0000FF"/>
                      <w:sz w:val="18"/>
                      <w:szCs w:val="18"/>
                      <w:lang w:val="en-US" w:eastAsia="zh-CN"/>
                    </w:rPr>
                    <w:t>，</w:t>
                  </w:r>
                  <w:r>
                    <w:rPr>
                      <w:rFonts w:hint="eastAsia" w:cs="Times New Roman"/>
                      <w:color w:val="0000FF"/>
                      <w:sz w:val="18"/>
                      <w:szCs w:val="18"/>
                      <w:lang w:val="en-US" w:eastAsia="zh-CN"/>
                    </w:rPr>
                    <w:t>UV光解</w:t>
                  </w:r>
                  <w:r>
                    <w:rPr>
                      <w:rFonts w:hint="default" w:ascii="Times New Roman" w:hAnsi="Times New Roman" w:eastAsia="宋体" w:cs="Times New Roman"/>
                      <w:color w:val="0000FF"/>
                      <w:sz w:val="18"/>
                      <w:szCs w:val="18"/>
                      <w:lang w:val="en-US" w:eastAsia="zh-CN"/>
                    </w:rPr>
                    <w:t>+活性炭吸附装置处理后</w:t>
                  </w: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85%</w:t>
                  </w:r>
                </w:p>
              </w:tc>
              <w:tc>
                <w:tcPr>
                  <w:tcW w:w="4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highlight w:val="none"/>
                      <w:lang w:val="en-US" w:eastAsia="zh-CN"/>
                    </w:rPr>
                    <w:t>物料平衡</w:t>
                  </w:r>
                </w:p>
              </w:tc>
              <w:tc>
                <w:tcPr>
                  <w:tcW w:w="51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15120</w:t>
                  </w:r>
                </w:p>
              </w:tc>
              <w:tc>
                <w:tcPr>
                  <w:tcW w:w="59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1.8</w:t>
                  </w:r>
                </w:p>
              </w:tc>
              <w:tc>
                <w:tcPr>
                  <w:tcW w:w="59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0.225</w:t>
                  </w:r>
                </w:p>
              </w:tc>
              <w:tc>
                <w:tcPr>
                  <w:tcW w:w="38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p>
              </w:tc>
              <w:tc>
                <w:tcPr>
                  <w:tcW w:w="5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全厂</w:t>
                  </w:r>
                </w:p>
              </w:tc>
              <w:tc>
                <w:tcPr>
                  <w:tcW w:w="54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无组织</w:t>
                  </w:r>
                </w:p>
              </w:tc>
              <w:tc>
                <w:tcPr>
                  <w:tcW w:w="6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highlight w:val="none"/>
                      <w:lang w:val="en-US" w:eastAsia="zh-CN"/>
                    </w:rPr>
                    <w:t>非甲烷总烃</w:t>
                  </w:r>
                </w:p>
              </w:tc>
              <w:tc>
                <w:tcPr>
                  <w:tcW w:w="4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highlight w:val="none"/>
                      <w:lang w:val="en-US" w:eastAsia="zh-CN"/>
                    </w:rPr>
                    <w:t>物料平衡</w:t>
                  </w:r>
                </w:p>
              </w:tc>
              <w:tc>
                <w:tcPr>
                  <w:tcW w:w="59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63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53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0.75</w:t>
                  </w:r>
                </w:p>
              </w:tc>
              <w:tc>
                <w:tcPr>
                  <w:tcW w:w="125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加强通风</w:t>
                  </w:r>
                </w:p>
              </w:tc>
              <w:tc>
                <w:tcPr>
                  <w:tcW w:w="4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highlight w:val="none"/>
                      <w:lang w:val="en-US" w:eastAsia="zh-CN"/>
                    </w:rPr>
                    <w:t>物料平衡</w:t>
                  </w:r>
                </w:p>
              </w:tc>
              <w:tc>
                <w:tcPr>
                  <w:tcW w:w="51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59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59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0.75</w:t>
                  </w:r>
                </w:p>
              </w:tc>
              <w:tc>
                <w:tcPr>
                  <w:tcW w:w="38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18"/>
                      <w:szCs w:val="18"/>
                      <w:lang w:val="en-US" w:eastAsia="zh-CN"/>
                    </w:rPr>
                  </w:pPr>
                </w:p>
              </w:tc>
            </w:tr>
          </w:tbl>
          <w:p>
            <w:pPr>
              <w:spacing w:line="360" w:lineRule="auto"/>
              <w:rPr>
                <w:rFonts w:hint="default" w:ascii="Times New Roman" w:hAnsi="Times New Roman" w:eastAsia="宋体" w:cs="Times New Roman"/>
                <w:color w:val="0000FF"/>
                <w:sz w:val="18"/>
                <w:szCs w:val="18"/>
                <w:vertAlign w:val="baseline"/>
                <w:lang w:val="en-US" w:eastAsia="zh-CN"/>
              </w:rPr>
            </w:pPr>
            <w:r>
              <w:rPr>
                <w:rFonts w:hint="default" w:ascii="Times New Roman" w:hAnsi="Times New Roman" w:eastAsia="宋体" w:cs="Times New Roman"/>
                <w:color w:val="0000FF"/>
                <w:sz w:val="18"/>
                <w:szCs w:val="18"/>
                <w:vertAlign w:val="baseline"/>
                <w:lang w:val="en-US" w:eastAsia="zh-CN"/>
              </w:rPr>
              <w:t>注：1#排气筒</w:t>
            </w:r>
            <w:r>
              <w:rPr>
                <w:rFonts w:hint="eastAsia" w:cs="Times New Roman"/>
                <w:color w:val="0000FF"/>
                <w:sz w:val="18"/>
                <w:szCs w:val="18"/>
                <w:vertAlign w:val="baseline"/>
                <w:lang w:val="en-US" w:eastAsia="zh-CN"/>
              </w:rPr>
              <w:t>、2#排气筒位置较近，</w:t>
            </w:r>
            <w:r>
              <w:rPr>
                <w:rFonts w:hint="default" w:ascii="Times New Roman" w:hAnsi="Times New Roman" w:eastAsia="宋体" w:cs="Times New Roman"/>
                <w:color w:val="0000FF"/>
                <w:sz w:val="18"/>
                <w:szCs w:val="18"/>
                <w:vertAlign w:val="baseline"/>
                <w:lang w:val="en-US" w:eastAsia="zh-CN"/>
              </w:rPr>
              <w:t>坐标</w:t>
            </w:r>
            <w:r>
              <w:rPr>
                <w:rFonts w:hint="eastAsia" w:cs="Times New Roman"/>
                <w:color w:val="0000FF"/>
                <w:sz w:val="18"/>
                <w:szCs w:val="18"/>
                <w:vertAlign w:val="baseline"/>
                <w:lang w:val="en-US" w:eastAsia="zh-CN"/>
              </w:rPr>
              <w:t>均为</w:t>
            </w:r>
            <w:r>
              <w:rPr>
                <w:rFonts w:hint="default" w:ascii="Times New Roman" w:hAnsi="Times New Roman" w:eastAsia="宋体" w:cs="Times New Roman"/>
                <w:color w:val="0000FF"/>
                <w:sz w:val="18"/>
                <w:szCs w:val="18"/>
                <w:vertAlign w:val="baseline"/>
                <w:lang w:val="en-US" w:eastAsia="zh-CN"/>
              </w:rPr>
              <w:t>105.</w:t>
            </w:r>
            <w:r>
              <w:rPr>
                <w:rFonts w:hint="eastAsia" w:cs="Times New Roman"/>
                <w:color w:val="0000FF"/>
                <w:sz w:val="18"/>
                <w:szCs w:val="18"/>
                <w:vertAlign w:val="baseline"/>
                <w:lang w:val="en-US" w:eastAsia="zh-CN"/>
              </w:rPr>
              <w:t>768</w:t>
            </w:r>
            <w:r>
              <w:rPr>
                <w:rFonts w:hint="default" w:ascii="Times New Roman" w:hAnsi="Times New Roman" w:eastAsia="宋体" w:cs="Times New Roman"/>
                <w:color w:val="0000FF"/>
                <w:sz w:val="18"/>
                <w:szCs w:val="18"/>
                <w:vertAlign w:val="baseline"/>
                <w:lang w:val="en-US" w:eastAsia="zh-CN"/>
              </w:rPr>
              <w:t>E, 29.</w:t>
            </w:r>
            <w:r>
              <w:rPr>
                <w:rFonts w:hint="eastAsia" w:cs="Times New Roman"/>
                <w:color w:val="0000FF"/>
                <w:sz w:val="18"/>
                <w:szCs w:val="18"/>
                <w:vertAlign w:val="baseline"/>
                <w:lang w:val="en-US" w:eastAsia="zh-CN"/>
              </w:rPr>
              <w:t>514</w:t>
            </w:r>
            <w:r>
              <w:rPr>
                <w:rFonts w:hint="default" w:ascii="Times New Roman" w:hAnsi="Times New Roman" w:eastAsia="宋体" w:cs="Times New Roman"/>
                <w:color w:val="0000FF"/>
                <w:sz w:val="18"/>
                <w:szCs w:val="18"/>
                <w:vertAlign w:val="baseline"/>
                <w:lang w:val="en-US" w:eastAsia="zh-CN"/>
              </w:rPr>
              <w:t>N</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eastAsia" w:ascii="Times New Roman" w:hAnsi="Times New Roman" w:cs="Times New Roman"/>
                <w:color w:val="0000FF"/>
                <w:lang w:val="en-US" w:eastAsia="zh-CN"/>
              </w:rPr>
              <w:t>②</w:t>
            </w:r>
            <w:r>
              <w:rPr>
                <w:rFonts w:hint="default" w:ascii="Times New Roman" w:hAnsi="Times New Roman" w:eastAsia="宋体" w:cs="Times New Roman"/>
                <w:color w:val="0000FF"/>
                <w:sz w:val="21"/>
                <w:szCs w:val="21"/>
                <w:lang w:val="en-US" w:eastAsia="zh-CN"/>
              </w:rPr>
              <w:t>单位产品废气排放量</w:t>
            </w:r>
          </w:p>
          <w:p>
            <w:pPr>
              <w:pStyle w:val="43"/>
              <w:bidi w:val="0"/>
              <w:rPr>
                <w:rFonts w:hint="eastAsia" w:ascii="Times New Roman" w:hAnsi="Times New Roman" w:cs="Times New Roman"/>
                <w:color w:val="0000FF"/>
                <w:lang w:val="en-US" w:eastAsia="zh-CN"/>
              </w:rPr>
            </w:pPr>
            <w:r>
              <w:rPr>
                <w:rFonts w:hint="default" w:ascii="Times New Roman" w:hAnsi="Times New Roman" w:eastAsia="宋体" w:cs="Times New Roman"/>
                <w:color w:val="0000FF"/>
                <w:sz w:val="21"/>
                <w:szCs w:val="21"/>
                <w:lang w:val="en-US" w:eastAsia="zh-CN"/>
              </w:rPr>
              <w:t>根据计算，</w:t>
            </w:r>
            <w:r>
              <w:rPr>
                <w:rFonts w:hint="eastAsia"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项目废气非甲烷总烃排放量为</w:t>
            </w:r>
            <w:r>
              <w:rPr>
                <w:rFonts w:hint="eastAsia" w:cs="Times New Roman"/>
                <w:color w:val="0000FF"/>
                <w:sz w:val="21"/>
                <w:szCs w:val="21"/>
                <w:lang w:val="en-US" w:eastAsia="zh-CN"/>
              </w:rPr>
              <w:t>0.45</w:t>
            </w:r>
            <w:r>
              <w:rPr>
                <w:rFonts w:hint="default" w:ascii="Times New Roman" w:hAnsi="Times New Roman" w:eastAsia="宋体" w:cs="Times New Roman"/>
                <w:color w:val="0000FF"/>
                <w:sz w:val="21"/>
                <w:szCs w:val="21"/>
                <w:lang w:val="en-US" w:eastAsia="zh-CN"/>
              </w:rPr>
              <w:t>t/a，产品总重量为</w:t>
            </w:r>
            <w:r>
              <w:rPr>
                <w:rFonts w:hint="eastAsia" w:cs="Times New Roman"/>
                <w:color w:val="0000FF"/>
                <w:sz w:val="21"/>
                <w:szCs w:val="21"/>
                <w:lang w:val="en-US" w:eastAsia="zh-CN"/>
              </w:rPr>
              <w:t>1000</w:t>
            </w:r>
            <w:r>
              <w:rPr>
                <w:rFonts w:hint="default" w:ascii="Times New Roman" w:hAnsi="Times New Roman" w:eastAsia="宋体" w:cs="Times New Roman"/>
                <w:color w:val="0000FF"/>
                <w:sz w:val="21"/>
                <w:szCs w:val="21"/>
                <w:lang w:val="en-US" w:eastAsia="zh-CN"/>
              </w:rPr>
              <w:t>t，因此单位产品非甲烷总烃排放量为0.</w:t>
            </w:r>
            <w:r>
              <w:rPr>
                <w:rFonts w:hint="eastAsia" w:cs="Times New Roman"/>
                <w:color w:val="0000FF"/>
                <w:sz w:val="21"/>
                <w:szCs w:val="21"/>
                <w:lang w:val="en-US" w:eastAsia="zh-CN"/>
              </w:rPr>
              <w:t>45</w:t>
            </w:r>
            <w:r>
              <w:rPr>
                <w:rFonts w:hint="default" w:ascii="Times New Roman" w:hAnsi="Times New Roman" w:eastAsia="宋体" w:cs="Times New Roman"/>
                <w:color w:val="0000FF"/>
                <w:sz w:val="21"/>
                <w:szCs w:val="21"/>
                <w:lang w:val="en-US" w:eastAsia="zh-CN"/>
              </w:rPr>
              <w:t>kg/t产品，满足</w:t>
            </w:r>
            <w:r>
              <w:rPr>
                <w:rFonts w:hint="default" w:ascii="Times New Roman" w:hAnsi="Times New Roman" w:eastAsia="宋体" w:cs="Times New Roman"/>
                <w:color w:val="0000FF"/>
                <w:sz w:val="21"/>
                <w:szCs w:val="21"/>
                <w:lang w:val="zh-CN" w:eastAsia="zh-CN"/>
              </w:rPr>
              <w:t>《</w:t>
            </w:r>
            <w:r>
              <w:rPr>
                <w:rFonts w:hint="default" w:ascii="Times New Roman" w:hAnsi="Times New Roman" w:eastAsia="宋体" w:cs="Times New Roman"/>
                <w:color w:val="0000FF"/>
                <w:sz w:val="21"/>
                <w:szCs w:val="21"/>
                <w:lang w:val="en-US" w:eastAsia="zh-CN"/>
              </w:rPr>
              <w:t>合成树脂工业污染物排放标准</w:t>
            </w:r>
            <w:r>
              <w:rPr>
                <w:rFonts w:hint="default" w:ascii="Times New Roman" w:hAnsi="Times New Roman" w:eastAsia="宋体" w:cs="Times New Roman"/>
                <w:color w:val="0000FF"/>
                <w:sz w:val="21"/>
                <w:szCs w:val="21"/>
                <w:lang w:val="zh-CN" w:eastAsia="zh-CN"/>
              </w:rPr>
              <w:t>》（</w:t>
            </w:r>
            <w:r>
              <w:rPr>
                <w:rFonts w:hint="default" w:ascii="Times New Roman" w:hAnsi="Times New Roman" w:eastAsia="宋体" w:cs="Times New Roman"/>
                <w:color w:val="0000FF"/>
                <w:sz w:val="21"/>
                <w:szCs w:val="21"/>
                <w:lang w:val="en-US" w:eastAsia="zh-CN"/>
              </w:rPr>
              <w:t>GB31572</w:t>
            </w:r>
            <w:r>
              <w:rPr>
                <w:rFonts w:hint="default" w:ascii="Times New Roman" w:hAnsi="Times New Roman" w:eastAsia="宋体" w:cs="Times New Roman"/>
                <w:color w:val="0000FF"/>
                <w:sz w:val="21"/>
                <w:szCs w:val="21"/>
                <w:lang w:val="zh-CN" w:eastAsia="zh-CN"/>
              </w:rPr>
              <w:t>-201</w:t>
            </w:r>
            <w:r>
              <w:rPr>
                <w:rFonts w:hint="default" w:ascii="Times New Roman" w:hAnsi="Times New Roman" w:eastAsia="宋体" w:cs="Times New Roman"/>
                <w:color w:val="0000FF"/>
                <w:sz w:val="21"/>
                <w:szCs w:val="21"/>
                <w:lang w:val="en-US" w:eastAsia="zh-CN"/>
              </w:rPr>
              <w:t>5</w:t>
            </w:r>
            <w:r>
              <w:rPr>
                <w:rFonts w:hint="default" w:ascii="Times New Roman" w:hAnsi="Times New Roman" w:eastAsia="宋体" w:cs="Times New Roman"/>
                <w:color w:val="0000FF"/>
                <w:sz w:val="21"/>
                <w:szCs w:val="21"/>
                <w:lang w:val="zh-CN" w:eastAsia="zh-CN"/>
              </w:rPr>
              <w:t>）</w:t>
            </w:r>
            <w:r>
              <w:rPr>
                <w:rFonts w:hint="default" w:ascii="Times New Roman" w:hAnsi="Times New Roman" w:eastAsia="宋体" w:cs="Times New Roman"/>
                <w:color w:val="0000FF"/>
                <w:sz w:val="21"/>
                <w:szCs w:val="21"/>
                <w:lang w:val="en-US" w:eastAsia="zh-CN"/>
              </w:rPr>
              <w:t>中单位产品非甲烷总烃排放量0.</w:t>
            </w:r>
            <w:r>
              <w:rPr>
                <w:rFonts w:hint="eastAsia" w:cs="Times New Roman"/>
                <w:color w:val="0000FF"/>
                <w:sz w:val="21"/>
                <w:szCs w:val="21"/>
                <w:lang w:val="en-US" w:eastAsia="zh-CN"/>
              </w:rPr>
              <w:t>5</w:t>
            </w:r>
            <w:r>
              <w:rPr>
                <w:rFonts w:hint="default" w:ascii="Times New Roman" w:hAnsi="Times New Roman" w:eastAsia="宋体" w:cs="Times New Roman"/>
                <w:color w:val="0000FF"/>
                <w:sz w:val="21"/>
                <w:szCs w:val="21"/>
                <w:lang w:val="en-US" w:eastAsia="zh-CN"/>
              </w:rPr>
              <w:t>kg/t产品标准限值。</w:t>
            </w:r>
          </w:p>
          <w:p>
            <w:pPr>
              <w:pStyle w:val="43"/>
              <w:bidi w:val="0"/>
              <w:rPr>
                <w:rFonts w:hint="default" w:ascii="Times New Roman" w:hAnsi="Times New Roman" w:cs="Times New Roman"/>
                <w:color w:val="auto"/>
                <w:lang w:val="en-US" w:eastAsia="zh-CN"/>
              </w:rPr>
            </w:pPr>
            <w:r>
              <w:rPr>
                <w:rFonts w:hint="eastAsia" w:ascii="宋体" w:hAnsi="宋体" w:eastAsia="宋体" w:cs="宋体"/>
                <w:color w:val="auto"/>
                <w:sz w:val="21"/>
                <w:szCs w:val="21"/>
                <w:lang w:val="en-US" w:eastAsia="zh-CN"/>
              </w:rPr>
              <w:t>③</w:t>
            </w:r>
            <w:r>
              <w:rPr>
                <w:rFonts w:hint="eastAsia" w:ascii="Times New Roman" w:hAnsi="Times New Roman" w:cs="Times New Roman"/>
                <w:color w:val="auto"/>
                <w:lang w:val="en-US" w:eastAsia="zh-CN"/>
              </w:rPr>
              <w:t xml:space="preserve">食堂油烟 </w:t>
            </w:r>
          </w:p>
          <w:p>
            <w:pPr>
              <w:pStyle w:val="43"/>
              <w:bidi w:val="0"/>
              <w:rPr>
                <w:rFonts w:hint="eastAsia" w:ascii="Times New Roman" w:hAnsi="Times New Roman" w:eastAsia="宋体" w:cs="Times New Roman"/>
                <w:color w:val="0000FF"/>
                <w:lang w:val="en-US" w:eastAsia="zh-CN"/>
              </w:rPr>
            </w:pPr>
            <w:r>
              <w:rPr>
                <w:rFonts w:hint="eastAsia" w:ascii="Times New Roman" w:hAnsi="Times New Roman" w:eastAsia="宋体" w:cs="Times New Roman"/>
                <w:color w:val="0000FF"/>
                <w:lang w:val="en-US" w:eastAsia="zh-CN"/>
              </w:rPr>
              <w:t>拟建项目就餐人次为10人/d，食用油用量平均按0.05kg/人·d计，则耗油量为0.5kg/d，油烟挥发量按耗油量的1%计，则项目油烟产生量为1.65kg/a。食堂设置灶头1个，排风量为2000m</w:t>
            </w:r>
            <w:r>
              <w:rPr>
                <w:rFonts w:hint="eastAsia" w:ascii="Times New Roman" w:hAnsi="Times New Roman" w:eastAsia="宋体" w:cs="Times New Roman"/>
                <w:color w:val="0000FF"/>
                <w:vertAlign w:val="superscript"/>
                <w:lang w:val="en-US" w:eastAsia="zh-CN"/>
              </w:rPr>
              <w:t>3</w:t>
            </w:r>
            <w:r>
              <w:rPr>
                <w:rFonts w:hint="eastAsia" w:ascii="Times New Roman" w:hAnsi="Times New Roman" w:eastAsia="宋体" w:cs="Times New Roman"/>
                <w:color w:val="0000FF"/>
                <w:lang w:val="en-US" w:eastAsia="zh-CN"/>
              </w:rPr>
              <w:t>/h，食堂工作时间约2h/d，则食堂油烟产生速率为0.0025kg/h，产生浓度为1.25mg/m</w:t>
            </w:r>
            <w:r>
              <w:rPr>
                <w:rFonts w:hint="eastAsia" w:ascii="Times New Roman" w:hAnsi="Times New Roman" w:eastAsia="宋体" w:cs="Times New Roman"/>
                <w:color w:val="0000FF"/>
                <w:vertAlign w:val="superscript"/>
                <w:lang w:val="en-US" w:eastAsia="zh-CN"/>
              </w:rPr>
              <w:t>3</w:t>
            </w:r>
            <w:r>
              <w:rPr>
                <w:rFonts w:hint="eastAsia" w:ascii="Times New Roman" w:hAnsi="Times New Roman" w:eastAsia="宋体" w:cs="Times New Roman"/>
                <w:color w:val="0000FF"/>
                <w:lang w:val="en-US" w:eastAsia="zh-CN"/>
              </w:rPr>
              <w:t>。</w:t>
            </w:r>
          </w:p>
          <w:p>
            <w:pPr>
              <w:pStyle w:val="43"/>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根据《〈餐饮油烟大气污染物排放标准（征求意见稿）〉编制说明》重庆市重点控制区域的餐饮单位的非甲烷总烃排放浓度为1.6~12.5mg/m</w:t>
            </w:r>
            <w:r>
              <w:rPr>
                <w:rFonts w:hint="eastAsia" w:ascii="Times New Roman" w:hAnsi="Times New Roman" w:eastAsia="宋体" w:cs="Times New Roman"/>
                <w:color w:val="auto"/>
                <w:vertAlign w:val="superscript"/>
                <w:lang w:val="en-US" w:eastAsia="zh-CN"/>
              </w:rPr>
              <w:t>3</w:t>
            </w:r>
            <w:r>
              <w:rPr>
                <w:rFonts w:hint="eastAsia" w:ascii="Times New Roman" w:hAnsi="Times New Roman" w:eastAsia="宋体" w:cs="Times New Roman"/>
                <w:color w:val="auto"/>
                <w:lang w:val="en-US" w:eastAsia="zh-CN"/>
              </w:rPr>
              <w:t>，由于市场普遍采用的湿式油烟净化技术如运水烟罩、机械式油烟净化技术如金属网过滤板、静电油烟净化技术如双电场静电油烟处理器对非甲烷总烃去除效率较低，约30%~40%，按最不利原则，倒推出非甲烷总烃产生浓度约20mg/m</w:t>
            </w:r>
            <w:r>
              <w:rPr>
                <w:rFonts w:hint="eastAsia" w:ascii="Times New Roman" w:hAnsi="Times New Roman" w:eastAsia="宋体" w:cs="Times New Roman"/>
                <w:color w:val="auto"/>
                <w:vertAlign w:val="superscript"/>
                <w:lang w:val="en-US" w:eastAsia="zh-CN"/>
              </w:rPr>
              <w:t>3</w:t>
            </w:r>
            <w:r>
              <w:rPr>
                <w:rFonts w:hint="eastAsia" w:ascii="Times New Roman" w:hAnsi="Times New Roman" w:eastAsia="宋体" w:cs="Times New Roman"/>
                <w:color w:val="auto"/>
                <w:lang w:val="en-US" w:eastAsia="zh-CN"/>
              </w:rPr>
              <w:t>。拟建项目食堂风机总排风量2000m</w:t>
            </w:r>
            <w:r>
              <w:rPr>
                <w:rFonts w:hint="eastAsia" w:ascii="Times New Roman" w:hAnsi="Times New Roman" w:eastAsia="宋体" w:cs="Times New Roman"/>
                <w:color w:val="auto"/>
                <w:vertAlign w:val="superscript"/>
                <w:lang w:val="en-US" w:eastAsia="zh-CN"/>
              </w:rPr>
              <w:t>3</w:t>
            </w:r>
            <w:r>
              <w:rPr>
                <w:rFonts w:hint="eastAsia" w:ascii="Times New Roman" w:hAnsi="Times New Roman" w:eastAsia="宋体" w:cs="Times New Roman"/>
                <w:color w:val="auto"/>
                <w:lang w:val="en-US" w:eastAsia="zh-CN"/>
              </w:rPr>
              <w:t>/h，年运行时间330d，则非甲烷总烃产生速率及产生量为0.04kg/h，0.0264t/a。</w:t>
            </w:r>
          </w:p>
          <w:p>
            <w:pPr>
              <w:pStyle w:val="43"/>
              <w:bidi w:val="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拟建项目食堂设置高效油烟净化器对食堂油烟进行处理，油烟去除效率约9</w:t>
            </w:r>
            <w:r>
              <w:rPr>
                <w:rFonts w:hint="eastAsia" w:cs="Times New Roman"/>
                <w:color w:val="auto"/>
                <w:lang w:val="en-US" w:eastAsia="zh-CN"/>
              </w:rPr>
              <w:t>0</w:t>
            </w:r>
            <w:r>
              <w:rPr>
                <w:rFonts w:hint="eastAsia" w:ascii="Times New Roman" w:hAnsi="Times New Roman" w:eastAsia="宋体" w:cs="Times New Roman"/>
                <w:color w:val="auto"/>
                <w:lang w:val="en-US" w:eastAsia="zh-CN"/>
              </w:rPr>
              <w:t>%、非甲烷总烃去除效率约</w:t>
            </w:r>
            <w:r>
              <w:rPr>
                <w:rFonts w:hint="eastAsia" w:cs="Times New Roman"/>
                <w:color w:val="auto"/>
                <w:lang w:val="en-US" w:eastAsia="zh-CN"/>
              </w:rPr>
              <w:t>6</w:t>
            </w:r>
            <w:r>
              <w:rPr>
                <w:rFonts w:hint="eastAsia" w:ascii="Times New Roman" w:hAnsi="Times New Roman" w:eastAsia="宋体" w:cs="Times New Roman"/>
                <w:color w:val="auto"/>
                <w:lang w:val="en-US" w:eastAsia="zh-CN"/>
              </w:rPr>
              <w:t>5%，食堂油烟处理后引至楼顶排放，则经处理后食堂油烟中污染物排放情况详见表4-2。</w:t>
            </w:r>
          </w:p>
          <w:p>
            <w:pPr>
              <w:pStyle w:val="43"/>
              <w:bidi w:val="0"/>
              <w:ind w:left="0" w:leftChars="0" w:firstLine="0" w:firstLineChars="0"/>
              <w:jc w:val="center"/>
            </w:pPr>
            <w:r>
              <w:rPr>
                <w:rFonts w:hint="eastAsia"/>
              </w:rPr>
              <w:t>表</w:t>
            </w:r>
            <w:r>
              <w:rPr>
                <w:rFonts w:hint="eastAsia"/>
                <w:szCs w:val="24"/>
                <w:lang w:val="en-US" w:eastAsia="zh-CN"/>
              </w:rPr>
              <w:t>4-2</w:t>
            </w:r>
            <w:r>
              <w:rPr>
                <w:rFonts w:hint="eastAsia"/>
              </w:rPr>
              <w:t xml:space="preserve"> </w:t>
            </w:r>
            <w:r>
              <w:t xml:space="preserve"> </w:t>
            </w:r>
            <w:r>
              <w:rPr>
                <w:rFonts w:hint="eastAsia"/>
              </w:rPr>
              <w:t>食堂油烟产排情况表</w:t>
            </w:r>
          </w:p>
          <w:tbl>
            <w:tblPr>
              <w:tblStyle w:val="19"/>
              <w:tblW w:w="5000" w:type="pct"/>
              <w:tblInd w:w="5"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28" w:type="dxa"/>
                <w:bottom w:w="0" w:type="dxa"/>
                <w:right w:w="28" w:type="dxa"/>
              </w:tblCellMar>
            </w:tblPr>
            <w:tblGrid>
              <w:gridCol w:w="544"/>
              <w:gridCol w:w="1140"/>
              <w:gridCol w:w="740"/>
              <w:gridCol w:w="842"/>
              <w:gridCol w:w="1192"/>
              <w:gridCol w:w="935"/>
              <w:gridCol w:w="853"/>
              <w:gridCol w:w="1007"/>
              <w:gridCol w:w="97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90" w:hRule="atLeast"/>
              </w:trPr>
              <w:tc>
                <w:tcPr>
                  <w:tcW w:w="544" w:type="dxa"/>
                  <w:vMerge w:val="restart"/>
                  <w:tcBorders>
                    <w:tl2br w:val="nil"/>
                    <w:tr2bl w:val="nil"/>
                  </w:tcBorders>
                  <w:vAlign w:val="center"/>
                </w:tcPr>
                <w:p>
                  <w:pPr>
                    <w:spacing w:line="240" w:lineRule="auto"/>
                    <w:ind w:firstLine="0" w:firstLineChars="0"/>
                    <w:rPr>
                      <w:sz w:val="21"/>
                      <w:szCs w:val="21"/>
                    </w:rPr>
                  </w:pPr>
                  <w:r>
                    <w:rPr>
                      <w:rFonts w:hint="eastAsia"/>
                      <w:sz w:val="21"/>
                      <w:szCs w:val="21"/>
                    </w:rPr>
                    <w:t>污染源</w:t>
                  </w:r>
                </w:p>
              </w:tc>
              <w:tc>
                <w:tcPr>
                  <w:tcW w:w="1140" w:type="dxa"/>
                  <w:vMerge w:val="restart"/>
                  <w:tcBorders>
                    <w:tl2br w:val="nil"/>
                    <w:tr2bl w:val="nil"/>
                  </w:tcBorders>
                  <w:vAlign w:val="center"/>
                </w:tcPr>
                <w:p>
                  <w:pPr>
                    <w:spacing w:line="240" w:lineRule="auto"/>
                    <w:ind w:firstLine="0" w:firstLineChars="0"/>
                    <w:rPr>
                      <w:sz w:val="21"/>
                      <w:szCs w:val="21"/>
                    </w:rPr>
                  </w:pPr>
                  <w:r>
                    <w:rPr>
                      <w:rFonts w:hint="eastAsia"/>
                      <w:sz w:val="21"/>
                      <w:szCs w:val="21"/>
                    </w:rPr>
                    <w:t>污染物</w:t>
                  </w:r>
                </w:p>
              </w:tc>
              <w:tc>
                <w:tcPr>
                  <w:tcW w:w="2774" w:type="dxa"/>
                  <w:gridSpan w:val="3"/>
                  <w:tcBorders>
                    <w:tl2br w:val="nil"/>
                    <w:tr2bl w:val="nil"/>
                  </w:tcBorders>
                  <w:vAlign w:val="center"/>
                </w:tcPr>
                <w:p>
                  <w:pPr>
                    <w:spacing w:line="240" w:lineRule="auto"/>
                    <w:ind w:firstLine="0" w:firstLineChars="0"/>
                    <w:rPr>
                      <w:sz w:val="21"/>
                      <w:szCs w:val="21"/>
                    </w:rPr>
                  </w:pPr>
                  <w:r>
                    <w:rPr>
                      <w:rFonts w:hint="eastAsia"/>
                      <w:sz w:val="21"/>
                      <w:szCs w:val="21"/>
                    </w:rPr>
                    <w:t>产生情况</w:t>
                  </w:r>
                </w:p>
              </w:tc>
              <w:tc>
                <w:tcPr>
                  <w:tcW w:w="935" w:type="dxa"/>
                  <w:vMerge w:val="restart"/>
                  <w:tcBorders>
                    <w:tl2br w:val="nil"/>
                    <w:tr2bl w:val="nil"/>
                  </w:tcBorders>
                  <w:vAlign w:val="center"/>
                </w:tcPr>
                <w:p>
                  <w:pPr>
                    <w:spacing w:line="240" w:lineRule="auto"/>
                    <w:ind w:firstLine="0" w:firstLineChars="0"/>
                    <w:rPr>
                      <w:rFonts w:hint="eastAsia" w:eastAsia="宋体"/>
                      <w:sz w:val="21"/>
                      <w:szCs w:val="21"/>
                      <w:lang w:eastAsia="zh-CN"/>
                    </w:rPr>
                  </w:pPr>
                  <w:r>
                    <w:rPr>
                      <w:rFonts w:hint="eastAsia"/>
                      <w:sz w:val="21"/>
                      <w:szCs w:val="21"/>
                    </w:rPr>
                    <w:t>去除效率</w:t>
                  </w:r>
                  <w:r>
                    <w:rPr>
                      <w:rFonts w:hint="eastAsia"/>
                      <w:sz w:val="21"/>
                      <w:szCs w:val="21"/>
                      <w:lang w:val="en-US" w:eastAsia="zh-CN"/>
                    </w:rPr>
                    <w:t>(</w:t>
                  </w:r>
                  <w:r>
                    <w:rPr>
                      <w:sz w:val="21"/>
                      <w:szCs w:val="21"/>
                    </w:rPr>
                    <w:t>%</w:t>
                  </w:r>
                  <w:r>
                    <w:rPr>
                      <w:rFonts w:hint="eastAsia"/>
                      <w:sz w:val="21"/>
                      <w:szCs w:val="21"/>
                      <w:lang w:val="en-US" w:eastAsia="zh-CN"/>
                    </w:rPr>
                    <w:t>)</w:t>
                  </w:r>
                </w:p>
              </w:tc>
              <w:tc>
                <w:tcPr>
                  <w:tcW w:w="2833" w:type="dxa"/>
                  <w:gridSpan w:val="3"/>
                  <w:tcBorders>
                    <w:tl2br w:val="nil"/>
                    <w:tr2bl w:val="nil"/>
                  </w:tcBorders>
                  <w:vAlign w:val="center"/>
                </w:tcPr>
                <w:p>
                  <w:pPr>
                    <w:spacing w:line="240" w:lineRule="auto"/>
                    <w:ind w:firstLine="0" w:firstLineChars="0"/>
                    <w:rPr>
                      <w:sz w:val="21"/>
                      <w:szCs w:val="21"/>
                    </w:rPr>
                  </w:pPr>
                  <w:r>
                    <w:rPr>
                      <w:rFonts w:hint="eastAsia"/>
                      <w:sz w:val="21"/>
                      <w:szCs w:val="21"/>
                    </w:rPr>
                    <w:t>排放情况</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97" w:hRule="atLeast"/>
              </w:trPr>
              <w:tc>
                <w:tcPr>
                  <w:tcW w:w="544" w:type="dxa"/>
                  <w:vMerge w:val="continue"/>
                  <w:tcBorders>
                    <w:tl2br w:val="nil"/>
                    <w:tr2bl w:val="nil"/>
                  </w:tcBorders>
                  <w:vAlign w:val="center"/>
                </w:tcPr>
                <w:p>
                  <w:pPr>
                    <w:spacing w:line="240" w:lineRule="auto"/>
                    <w:ind w:firstLine="0" w:firstLineChars="0"/>
                    <w:rPr>
                      <w:sz w:val="21"/>
                      <w:szCs w:val="21"/>
                    </w:rPr>
                  </w:pPr>
                </w:p>
              </w:tc>
              <w:tc>
                <w:tcPr>
                  <w:tcW w:w="1140" w:type="dxa"/>
                  <w:vMerge w:val="continue"/>
                  <w:tcBorders>
                    <w:tl2br w:val="nil"/>
                    <w:tr2bl w:val="nil"/>
                  </w:tcBorders>
                  <w:vAlign w:val="center"/>
                </w:tcPr>
                <w:p>
                  <w:pPr>
                    <w:spacing w:line="240" w:lineRule="auto"/>
                    <w:ind w:firstLine="0" w:firstLineChars="0"/>
                    <w:rPr>
                      <w:sz w:val="21"/>
                      <w:szCs w:val="21"/>
                    </w:rPr>
                  </w:pPr>
                </w:p>
              </w:tc>
              <w:tc>
                <w:tcPr>
                  <w:tcW w:w="740" w:type="dxa"/>
                  <w:tcBorders>
                    <w:tl2br w:val="nil"/>
                    <w:tr2bl w:val="nil"/>
                  </w:tcBorders>
                  <w:vAlign w:val="center"/>
                </w:tcPr>
                <w:p>
                  <w:pPr>
                    <w:spacing w:line="240" w:lineRule="auto"/>
                    <w:ind w:firstLine="0" w:firstLineChars="0"/>
                    <w:rPr>
                      <w:sz w:val="21"/>
                      <w:szCs w:val="21"/>
                    </w:rPr>
                  </w:pPr>
                  <w:r>
                    <w:rPr>
                      <w:rFonts w:hint="eastAsia"/>
                      <w:sz w:val="21"/>
                      <w:szCs w:val="21"/>
                    </w:rPr>
                    <w:t>产生量</w:t>
                  </w:r>
                </w:p>
                <w:p>
                  <w:pPr>
                    <w:spacing w:line="240" w:lineRule="auto"/>
                    <w:ind w:firstLine="0" w:firstLineChars="0"/>
                    <w:rPr>
                      <w:rFonts w:hint="eastAsia" w:eastAsia="宋体"/>
                      <w:sz w:val="21"/>
                      <w:szCs w:val="21"/>
                      <w:lang w:eastAsia="zh-CN"/>
                    </w:rPr>
                  </w:pPr>
                  <w:r>
                    <w:rPr>
                      <w:rFonts w:hint="eastAsia"/>
                      <w:sz w:val="21"/>
                      <w:szCs w:val="21"/>
                      <w:lang w:val="en-US" w:eastAsia="zh-CN"/>
                    </w:rPr>
                    <w:t>(kg</w:t>
                  </w:r>
                  <w:r>
                    <w:rPr>
                      <w:sz w:val="21"/>
                      <w:szCs w:val="21"/>
                    </w:rPr>
                    <w:t>/a</w:t>
                  </w:r>
                  <w:r>
                    <w:rPr>
                      <w:rFonts w:hint="eastAsia"/>
                      <w:sz w:val="21"/>
                      <w:szCs w:val="21"/>
                      <w:lang w:val="en-US" w:eastAsia="zh-CN"/>
                    </w:rPr>
                    <w:t>)</w:t>
                  </w:r>
                </w:p>
              </w:tc>
              <w:tc>
                <w:tcPr>
                  <w:tcW w:w="842" w:type="dxa"/>
                  <w:tcBorders>
                    <w:tl2br w:val="nil"/>
                    <w:tr2bl w:val="nil"/>
                  </w:tcBorders>
                  <w:vAlign w:val="center"/>
                </w:tcPr>
                <w:p>
                  <w:pPr>
                    <w:spacing w:line="240" w:lineRule="auto"/>
                    <w:ind w:firstLine="0" w:firstLineChars="0"/>
                    <w:rPr>
                      <w:rFonts w:hint="eastAsia" w:eastAsia="宋体"/>
                      <w:sz w:val="21"/>
                      <w:szCs w:val="21"/>
                      <w:lang w:eastAsia="zh-CN"/>
                    </w:rPr>
                  </w:pPr>
                  <w:r>
                    <w:rPr>
                      <w:rFonts w:hint="eastAsia"/>
                      <w:sz w:val="21"/>
                      <w:szCs w:val="21"/>
                    </w:rPr>
                    <w:t>产生速率</w:t>
                  </w:r>
                  <w:r>
                    <w:rPr>
                      <w:rFonts w:hint="eastAsia"/>
                      <w:sz w:val="21"/>
                      <w:szCs w:val="21"/>
                      <w:lang w:val="en-US" w:eastAsia="zh-CN"/>
                    </w:rPr>
                    <w:t>(</w:t>
                  </w:r>
                  <w:r>
                    <w:rPr>
                      <w:sz w:val="21"/>
                      <w:szCs w:val="21"/>
                    </w:rPr>
                    <w:t>kg/h</w:t>
                  </w:r>
                  <w:r>
                    <w:rPr>
                      <w:rFonts w:hint="eastAsia"/>
                      <w:sz w:val="21"/>
                      <w:szCs w:val="21"/>
                      <w:lang w:val="en-US" w:eastAsia="zh-CN"/>
                    </w:rPr>
                    <w:t>)</w:t>
                  </w:r>
                </w:p>
              </w:tc>
              <w:tc>
                <w:tcPr>
                  <w:tcW w:w="1192" w:type="dxa"/>
                  <w:tcBorders>
                    <w:tl2br w:val="nil"/>
                    <w:tr2bl w:val="nil"/>
                  </w:tcBorders>
                  <w:vAlign w:val="center"/>
                </w:tcPr>
                <w:p>
                  <w:pPr>
                    <w:spacing w:line="240" w:lineRule="auto"/>
                    <w:ind w:firstLine="0" w:firstLineChars="0"/>
                    <w:rPr>
                      <w:rFonts w:hint="eastAsia" w:eastAsia="宋体"/>
                      <w:sz w:val="21"/>
                      <w:szCs w:val="21"/>
                      <w:lang w:eastAsia="zh-CN"/>
                    </w:rPr>
                  </w:pPr>
                  <w:r>
                    <w:rPr>
                      <w:rFonts w:hint="eastAsia"/>
                      <w:sz w:val="21"/>
                      <w:szCs w:val="21"/>
                    </w:rPr>
                    <w:t>产生浓度</w:t>
                  </w:r>
                  <w:r>
                    <w:rPr>
                      <w:rFonts w:hint="eastAsia"/>
                      <w:sz w:val="21"/>
                      <w:szCs w:val="21"/>
                      <w:lang w:val="en-US" w:eastAsia="zh-CN"/>
                    </w:rPr>
                    <w:t>(</w:t>
                  </w:r>
                  <w:r>
                    <w:rPr>
                      <w:sz w:val="21"/>
                      <w:szCs w:val="21"/>
                    </w:rPr>
                    <w:t>mg/m</w:t>
                  </w:r>
                  <w:r>
                    <w:rPr>
                      <w:sz w:val="21"/>
                      <w:szCs w:val="21"/>
                      <w:vertAlign w:val="superscript"/>
                    </w:rPr>
                    <w:t>3</w:t>
                  </w:r>
                  <w:r>
                    <w:rPr>
                      <w:rFonts w:hint="eastAsia"/>
                      <w:sz w:val="21"/>
                      <w:szCs w:val="21"/>
                      <w:lang w:val="en-US" w:eastAsia="zh-CN"/>
                    </w:rPr>
                    <w:t>)</w:t>
                  </w:r>
                </w:p>
              </w:tc>
              <w:tc>
                <w:tcPr>
                  <w:tcW w:w="935" w:type="dxa"/>
                  <w:vMerge w:val="continue"/>
                  <w:tcBorders>
                    <w:tl2br w:val="nil"/>
                    <w:tr2bl w:val="nil"/>
                  </w:tcBorders>
                  <w:vAlign w:val="center"/>
                </w:tcPr>
                <w:p>
                  <w:pPr>
                    <w:spacing w:line="240" w:lineRule="auto"/>
                    <w:ind w:firstLine="0" w:firstLineChars="0"/>
                    <w:rPr>
                      <w:sz w:val="21"/>
                      <w:szCs w:val="21"/>
                    </w:rPr>
                  </w:pPr>
                </w:p>
              </w:tc>
              <w:tc>
                <w:tcPr>
                  <w:tcW w:w="853" w:type="dxa"/>
                  <w:tcBorders>
                    <w:tl2br w:val="nil"/>
                    <w:tr2bl w:val="nil"/>
                  </w:tcBorders>
                  <w:vAlign w:val="center"/>
                </w:tcPr>
                <w:p>
                  <w:pPr>
                    <w:spacing w:line="240" w:lineRule="auto"/>
                    <w:ind w:firstLine="0" w:firstLineChars="0"/>
                    <w:rPr>
                      <w:rFonts w:hint="eastAsia" w:eastAsia="宋体"/>
                      <w:sz w:val="21"/>
                      <w:szCs w:val="21"/>
                      <w:lang w:eastAsia="zh-CN"/>
                    </w:rPr>
                  </w:pPr>
                  <w:r>
                    <w:rPr>
                      <w:rFonts w:hint="eastAsia"/>
                      <w:sz w:val="21"/>
                      <w:szCs w:val="21"/>
                    </w:rPr>
                    <w:t>排放量</w:t>
                  </w:r>
                  <w:r>
                    <w:rPr>
                      <w:rFonts w:hint="eastAsia"/>
                      <w:sz w:val="21"/>
                      <w:szCs w:val="21"/>
                      <w:lang w:val="en-US" w:eastAsia="zh-CN"/>
                    </w:rPr>
                    <w:t>(kg</w:t>
                  </w:r>
                  <w:r>
                    <w:rPr>
                      <w:sz w:val="21"/>
                      <w:szCs w:val="21"/>
                    </w:rPr>
                    <w:t>/a</w:t>
                  </w:r>
                  <w:r>
                    <w:rPr>
                      <w:rFonts w:hint="eastAsia"/>
                      <w:sz w:val="21"/>
                      <w:szCs w:val="21"/>
                      <w:lang w:val="en-US" w:eastAsia="zh-CN"/>
                    </w:rPr>
                    <w:t>)</w:t>
                  </w:r>
                </w:p>
              </w:tc>
              <w:tc>
                <w:tcPr>
                  <w:tcW w:w="1007" w:type="dxa"/>
                  <w:tcBorders>
                    <w:tl2br w:val="nil"/>
                    <w:tr2bl w:val="nil"/>
                  </w:tcBorders>
                  <w:vAlign w:val="center"/>
                </w:tcPr>
                <w:p>
                  <w:pPr>
                    <w:spacing w:line="240" w:lineRule="auto"/>
                    <w:ind w:firstLine="0" w:firstLineChars="0"/>
                    <w:rPr>
                      <w:sz w:val="21"/>
                      <w:szCs w:val="21"/>
                    </w:rPr>
                  </w:pPr>
                  <w:r>
                    <w:rPr>
                      <w:rFonts w:hint="eastAsia"/>
                      <w:sz w:val="21"/>
                      <w:szCs w:val="21"/>
                    </w:rPr>
                    <w:t>排放速率（</w:t>
                  </w:r>
                  <w:r>
                    <w:rPr>
                      <w:sz w:val="21"/>
                      <w:szCs w:val="21"/>
                    </w:rPr>
                    <w:t>kg/h</w:t>
                  </w:r>
                  <w:r>
                    <w:rPr>
                      <w:rFonts w:hint="eastAsia"/>
                      <w:sz w:val="21"/>
                      <w:szCs w:val="21"/>
                    </w:rPr>
                    <w:t>）</w:t>
                  </w:r>
                </w:p>
              </w:tc>
              <w:tc>
                <w:tcPr>
                  <w:tcW w:w="973" w:type="dxa"/>
                  <w:tcBorders>
                    <w:tl2br w:val="nil"/>
                    <w:tr2bl w:val="nil"/>
                  </w:tcBorders>
                  <w:vAlign w:val="center"/>
                </w:tcPr>
                <w:p>
                  <w:pPr>
                    <w:spacing w:line="240" w:lineRule="auto"/>
                    <w:ind w:firstLine="0" w:firstLineChars="0"/>
                    <w:rPr>
                      <w:rFonts w:hint="eastAsia" w:eastAsia="宋体"/>
                      <w:sz w:val="21"/>
                      <w:szCs w:val="21"/>
                      <w:lang w:eastAsia="zh-CN"/>
                    </w:rPr>
                  </w:pPr>
                  <w:r>
                    <w:rPr>
                      <w:rFonts w:hint="eastAsia"/>
                      <w:sz w:val="21"/>
                      <w:szCs w:val="21"/>
                    </w:rPr>
                    <w:t>排放浓度</w:t>
                  </w:r>
                  <w:r>
                    <w:rPr>
                      <w:rFonts w:hint="eastAsia"/>
                      <w:sz w:val="21"/>
                      <w:szCs w:val="21"/>
                      <w:lang w:val="en-US" w:eastAsia="zh-CN"/>
                    </w:rPr>
                    <w:t>(</w:t>
                  </w:r>
                  <w:r>
                    <w:rPr>
                      <w:sz w:val="21"/>
                      <w:szCs w:val="21"/>
                    </w:rPr>
                    <w:t>mg/m</w:t>
                  </w:r>
                  <w:r>
                    <w:rPr>
                      <w:sz w:val="21"/>
                      <w:szCs w:val="21"/>
                      <w:vertAlign w:val="superscript"/>
                    </w:rPr>
                    <w:t>3</w:t>
                  </w:r>
                  <w:r>
                    <w:rPr>
                      <w:rFonts w:hint="eastAsia"/>
                      <w:sz w:val="21"/>
                      <w:szCs w:val="21"/>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90" w:hRule="atLeast"/>
              </w:trPr>
              <w:tc>
                <w:tcPr>
                  <w:tcW w:w="544" w:type="dxa"/>
                  <w:vMerge w:val="restart"/>
                  <w:tcBorders>
                    <w:tl2br w:val="nil"/>
                    <w:tr2bl w:val="nil"/>
                  </w:tcBorders>
                  <w:vAlign w:val="center"/>
                </w:tcPr>
                <w:p>
                  <w:pPr>
                    <w:spacing w:line="240" w:lineRule="auto"/>
                    <w:ind w:firstLine="0" w:firstLineChars="0"/>
                    <w:rPr>
                      <w:sz w:val="21"/>
                      <w:szCs w:val="21"/>
                    </w:rPr>
                  </w:pPr>
                  <w:r>
                    <w:rPr>
                      <w:rFonts w:hint="eastAsia"/>
                      <w:sz w:val="21"/>
                      <w:szCs w:val="21"/>
                    </w:rPr>
                    <w:t>食堂</w:t>
                  </w:r>
                </w:p>
              </w:tc>
              <w:tc>
                <w:tcPr>
                  <w:tcW w:w="1140" w:type="dxa"/>
                  <w:tcBorders>
                    <w:tl2br w:val="nil"/>
                    <w:tr2bl w:val="nil"/>
                  </w:tcBorders>
                  <w:vAlign w:val="center"/>
                </w:tcPr>
                <w:p>
                  <w:pPr>
                    <w:spacing w:line="240" w:lineRule="auto"/>
                    <w:ind w:firstLine="0" w:firstLineChars="0"/>
                    <w:rPr>
                      <w:sz w:val="21"/>
                      <w:szCs w:val="21"/>
                    </w:rPr>
                  </w:pPr>
                  <w:r>
                    <w:rPr>
                      <w:rFonts w:hint="eastAsia"/>
                      <w:sz w:val="21"/>
                      <w:szCs w:val="21"/>
                    </w:rPr>
                    <w:t>油烟</w:t>
                  </w:r>
                </w:p>
              </w:tc>
              <w:tc>
                <w:tcPr>
                  <w:tcW w:w="740"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1.65</w:t>
                  </w:r>
                </w:p>
              </w:tc>
              <w:tc>
                <w:tcPr>
                  <w:tcW w:w="842"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0.0025</w:t>
                  </w:r>
                </w:p>
              </w:tc>
              <w:tc>
                <w:tcPr>
                  <w:tcW w:w="1192"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1.25</w:t>
                  </w:r>
                </w:p>
              </w:tc>
              <w:tc>
                <w:tcPr>
                  <w:tcW w:w="935"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90</w:t>
                  </w:r>
                </w:p>
              </w:tc>
              <w:tc>
                <w:tcPr>
                  <w:tcW w:w="853"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0.165</w:t>
                  </w:r>
                </w:p>
              </w:tc>
              <w:tc>
                <w:tcPr>
                  <w:tcW w:w="1007"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0.0003</w:t>
                  </w:r>
                </w:p>
              </w:tc>
              <w:tc>
                <w:tcPr>
                  <w:tcW w:w="973"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0.125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90" w:hRule="atLeast"/>
              </w:trPr>
              <w:tc>
                <w:tcPr>
                  <w:tcW w:w="544" w:type="dxa"/>
                  <w:vMerge w:val="continue"/>
                  <w:tcBorders>
                    <w:tl2br w:val="nil"/>
                    <w:tr2bl w:val="nil"/>
                  </w:tcBorders>
                  <w:vAlign w:val="center"/>
                </w:tcPr>
                <w:p>
                  <w:pPr>
                    <w:spacing w:line="240" w:lineRule="auto"/>
                    <w:ind w:firstLine="0" w:firstLineChars="0"/>
                    <w:rPr>
                      <w:sz w:val="21"/>
                      <w:szCs w:val="21"/>
                    </w:rPr>
                  </w:pPr>
                </w:p>
              </w:tc>
              <w:tc>
                <w:tcPr>
                  <w:tcW w:w="1140" w:type="dxa"/>
                  <w:tcBorders>
                    <w:tl2br w:val="nil"/>
                    <w:tr2bl w:val="nil"/>
                  </w:tcBorders>
                  <w:vAlign w:val="center"/>
                </w:tcPr>
                <w:p>
                  <w:pPr>
                    <w:spacing w:line="240" w:lineRule="auto"/>
                    <w:ind w:firstLine="0" w:firstLineChars="0"/>
                    <w:rPr>
                      <w:sz w:val="21"/>
                      <w:szCs w:val="21"/>
                    </w:rPr>
                  </w:pPr>
                  <w:r>
                    <w:rPr>
                      <w:rFonts w:hint="eastAsia"/>
                      <w:sz w:val="21"/>
                      <w:szCs w:val="21"/>
                    </w:rPr>
                    <w:t>非甲烷总烃</w:t>
                  </w:r>
                </w:p>
              </w:tc>
              <w:tc>
                <w:tcPr>
                  <w:tcW w:w="740"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26.4</w:t>
                  </w:r>
                </w:p>
              </w:tc>
              <w:tc>
                <w:tcPr>
                  <w:tcW w:w="842"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0.04</w:t>
                  </w:r>
                </w:p>
              </w:tc>
              <w:tc>
                <w:tcPr>
                  <w:tcW w:w="1192"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20</w:t>
                  </w:r>
                </w:p>
              </w:tc>
              <w:tc>
                <w:tcPr>
                  <w:tcW w:w="935"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65</w:t>
                  </w:r>
                </w:p>
              </w:tc>
              <w:tc>
                <w:tcPr>
                  <w:tcW w:w="853"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9.24</w:t>
                  </w:r>
                </w:p>
              </w:tc>
              <w:tc>
                <w:tcPr>
                  <w:tcW w:w="1007" w:type="dxa"/>
                  <w:tcBorders>
                    <w:tl2br w:val="nil"/>
                    <w:tr2bl w:val="nil"/>
                  </w:tcBorders>
                  <w:vAlign w:val="center"/>
                </w:tcPr>
                <w:p>
                  <w:pPr>
                    <w:spacing w:line="240" w:lineRule="auto"/>
                    <w:ind w:firstLine="0" w:firstLineChars="0"/>
                    <w:rPr>
                      <w:rFonts w:hint="default" w:eastAsia="宋体"/>
                      <w:sz w:val="21"/>
                      <w:szCs w:val="21"/>
                      <w:lang w:val="en-US" w:eastAsia="zh-CN"/>
                    </w:rPr>
                  </w:pPr>
                  <w:r>
                    <w:rPr>
                      <w:rFonts w:hint="eastAsia"/>
                      <w:sz w:val="21"/>
                      <w:szCs w:val="21"/>
                      <w:lang w:val="en-US" w:eastAsia="zh-CN"/>
                    </w:rPr>
                    <w:t>0.014</w:t>
                  </w:r>
                </w:p>
              </w:tc>
              <w:tc>
                <w:tcPr>
                  <w:tcW w:w="973" w:type="dxa"/>
                  <w:tcBorders>
                    <w:tl2br w:val="nil"/>
                    <w:tr2bl w:val="nil"/>
                  </w:tcBorders>
                  <w:vAlign w:val="center"/>
                </w:tcPr>
                <w:p>
                  <w:pPr>
                    <w:spacing w:line="240" w:lineRule="auto"/>
                    <w:ind w:firstLine="0" w:firstLineChars="0"/>
                    <w:rPr>
                      <w:rFonts w:hint="eastAsia" w:eastAsia="宋体"/>
                      <w:sz w:val="21"/>
                      <w:szCs w:val="21"/>
                      <w:lang w:val="en-US" w:eastAsia="zh-CN"/>
                    </w:rPr>
                  </w:pPr>
                  <w:r>
                    <w:rPr>
                      <w:rFonts w:hint="eastAsia"/>
                      <w:sz w:val="21"/>
                      <w:szCs w:val="21"/>
                      <w:lang w:val="en-US" w:eastAsia="zh-CN"/>
                    </w:rPr>
                    <w:t>7</w:t>
                  </w:r>
                </w:p>
              </w:tc>
            </w:tr>
          </w:tbl>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1.2废气治理措施及可行性分析</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项目废气主要为</w:t>
            </w:r>
            <w:r>
              <w:rPr>
                <w:rFonts w:hint="default" w:ascii="Times New Roman" w:hAnsi="Times New Roman" w:cs="Times New Roman"/>
                <w:sz w:val="21"/>
                <w:szCs w:val="21"/>
                <w:lang w:val="en-US" w:eastAsia="zh-CN"/>
              </w:rPr>
              <w:t>挤出废气、拉伸废气及定型废气</w:t>
            </w:r>
            <w:r>
              <w:rPr>
                <w:rFonts w:hint="default" w:ascii="Times New Roman" w:hAnsi="Times New Roman" w:eastAsia="宋体" w:cs="Times New Roman"/>
                <w:sz w:val="21"/>
                <w:szCs w:val="21"/>
                <w:lang w:val="en-US" w:eastAsia="zh-CN"/>
              </w:rPr>
              <w:t>。</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cs="Times New Roman"/>
                <w:sz w:val="21"/>
                <w:szCs w:val="21"/>
                <w:lang w:val="en-US" w:eastAsia="zh-CN"/>
              </w:rPr>
              <w:t>挤出废气、拉伸废气及定型废气在废气易逸出位置处设置集气罩</w:t>
            </w:r>
            <w:r>
              <w:rPr>
                <w:rFonts w:hint="default" w:ascii="Times New Roman" w:hAnsi="Times New Roman" w:eastAsia="宋体" w:cs="Times New Roman"/>
                <w:sz w:val="21"/>
                <w:szCs w:val="21"/>
                <w:lang w:val="en-US" w:eastAsia="zh-CN"/>
              </w:rPr>
              <w:t>，废气采用局部抽风收集后交由“</w:t>
            </w:r>
            <w:r>
              <w:rPr>
                <w:rFonts w:hint="eastAsia" w:cs="Times New Roman"/>
                <w:sz w:val="21"/>
                <w:szCs w:val="21"/>
                <w:lang w:val="en-US" w:eastAsia="zh-CN"/>
              </w:rPr>
              <w:t>UV光解</w:t>
            </w:r>
            <w:r>
              <w:rPr>
                <w:rFonts w:hint="default" w:ascii="Times New Roman" w:hAnsi="Times New Roman" w:eastAsia="宋体" w:cs="Times New Roman"/>
                <w:sz w:val="21"/>
                <w:szCs w:val="21"/>
                <w:lang w:val="en-US" w:eastAsia="zh-CN"/>
              </w:rPr>
              <w:t>体+活性炭吸附装置”处</w:t>
            </w:r>
            <w:r>
              <w:rPr>
                <w:rFonts w:hint="default" w:ascii="Times New Roman" w:hAnsi="Times New Roman" w:eastAsia="宋体" w:cs="Times New Roman"/>
                <w:color w:val="auto"/>
                <w:sz w:val="21"/>
                <w:szCs w:val="21"/>
                <w:lang w:val="en-US" w:eastAsia="zh-CN"/>
              </w:rPr>
              <w:t>理后排放。</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集气罩</w:t>
            </w:r>
            <w:r>
              <w:rPr>
                <w:rFonts w:hint="default" w:ascii="Times New Roman" w:hAnsi="Times New Roman" w:eastAsia="宋体" w:cs="Times New Roman"/>
                <w:color w:val="auto"/>
                <w:sz w:val="21"/>
                <w:szCs w:val="21"/>
                <w:lang w:val="en-US" w:eastAsia="zh-CN"/>
              </w:rPr>
              <w:t>收集效率为</w:t>
            </w:r>
            <w:r>
              <w:rPr>
                <w:rFonts w:hint="default" w:ascii="Times New Roman" w:hAnsi="Times New Roman" w:cs="Times New Roman"/>
                <w:color w:val="auto"/>
                <w:sz w:val="21"/>
                <w:szCs w:val="21"/>
                <w:lang w:val="en-US" w:eastAsia="zh-CN"/>
              </w:rPr>
              <w:t>8</w:t>
            </w:r>
            <w:r>
              <w:rPr>
                <w:rFonts w:hint="default" w:ascii="Times New Roman" w:hAnsi="Times New Roman" w:eastAsia="宋体" w:cs="Times New Roman"/>
                <w:color w:val="auto"/>
                <w:sz w:val="21"/>
                <w:szCs w:val="21"/>
                <w:lang w:val="en-US" w:eastAsia="zh-CN"/>
              </w:rPr>
              <w:t>0%计，“</w:t>
            </w:r>
            <w:r>
              <w:rPr>
                <w:rFonts w:hint="eastAsia" w:cs="Times New Roman"/>
                <w:color w:val="auto"/>
                <w:sz w:val="21"/>
                <w:szCs w:val="21"/>
                <w:lang w:val="en-US" w:eastAsia="zh-CN"/>
              </w:rPr>
              <w:t>UV光解</w:t>
            </w:r>
            <w:r>
              <w:rPr>
                <w:rFonts w:hint="default" w:ascii="Times New Roman" w:hAnsi="Times New Roman" w:eastAsia="宋体" w:cs="Times New Roman"/>
                <w:color w:val="auto"/>
                <w:sz w:val="21"/>
                <w:szCs w:val="21"/>
                <w:lang w:val="en-US" w:eastAsia="zh-CN"/>
              </w:rPr>
              <w:t>+活性炭吸附装置”去除效率为</w:t>
            </w:r>
            <w:r>
              <w:rPr>
                <w:rFonts w:hint="eastAsia" w:cs="Times New Roman"/>
                <w:color w:val="auto"/>
                <w:sz w:val="21"/>
                <w:szCs w:val="21"/>
                <w:lang w:val="en-US" w:eastAsia="zh-CN"/>
              </w:rPr>
              <w:t>85</w:t>
            </w:r>
            <w:r>
              <w:rPr>
                <w:rFonts w:hint="default" w:ascii="Times New Roman" w:hAnsi="Times New Roman" w:eastAsia="宋体" w:cs="Times New Roman"/>
                <w:color w:val="auto"/>
                <w:sz w:val="21"/>
                <w:szCs w:val="21"/>
                <w:lang w:val="en-US" w:eastAsia="zh-CN"/>
              </w:rPr>
              <w:t>%，排气筒高度15m。</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根据《排污许可证申请与核发技术规范 橡胶和塑料制品工业》（HJ1122—2020），泡沫塑料制造推荐的污染防治设施名称及工艺包括“除尘、喷淋、吸附、热力燃烧、催化燃烧、低温等离子体、UV光氧化/光催化、生物法、以上组合技术”，</w:t>
            </w:r>
            <w:r>
              <w:rPr>
                <w:rFonts w:hint="eastAsia" w:cs="Times New Roman"/>
                <w:sz w:val="21"/>
                <w:szCs w:val="21"/>
                <w:lang w:val="en-US" w:eastAsia="zh-CN"/>
              </w:rPr>
              <w:t>拟建</w:t>
            </w:r>
            <w:r>
              <w:rPr>
                <w:rFonts w:hint="default" w:ascii="Times New Roman" w:hAnsi="Times New Roman" w:eastAsia="宋体" w:cs="Times New Roman"/>
                <w:sz w:val="21"/>
                <w:szCs w:val="21"/>
                <w:lang w:val="en-US" w:eastAsia="zh-CN"/>
              </w:rPr>
              <w:t>项目采用“</w:t>
            </w:r>
            <w:r>
              <w:rPr>
                <w:rFonts w:hint="eastAsia" w:cs="Times New Roman"/>
                <w:sz w:val="21"/>
                <w:szCs w:val="21"/>
                <w:lang w:val="en-US" w:eastAsia="zh-CN"/>
              </w:rPr>
              <w:t>UV光解</w:t>
            </w:r>
            <w:r>
              <w:rPr>
                <w:rFonts w:hint="default" w:ascii="Times New Roman" w:hAnsi="Times New Roman" w:eastAsia="宋体" w:cs="Times New Roman"/>
                <w:sz w:val="21"/>
                <w:szCs w:val="21"/>
                <w:lang w:val="en-US" w:eastAsia="zh-CN"/>
              </w:rPr>
              <w:t>体+活性炭吸附装置”，属于推荐的污染防治设施名称及工艺，其废气收集方式及处理措施可行。</w:t>
            </w:r>
          </w:p>
          <w:p>
            <w:pPr>
              <w:spacing w:line="360" w:lineRule="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1.3大气环境影响分析</w:t>
            </w:r>
          </w:p>
          <w:p>
            <w:pPr>
              <w:spacing w:line="360" w:lineRule="auto"/>
              <w:ind w:firstLine="420" w:firstLineChars="200"/>
              <w:rPr>
                <w:rFonts w:hint="default" w:ascii="Times New Roman" w:hAnsi="Times New Roman" w:eastAsia="宋体" w:cs="Times New Roman"/>
                <w:color w:val="0000FF"/>
                <w:kern w:val="0"/>
                <w:szCs w:val="21"/>
                <w:lang w:val="en-US" w:eastAsia="zh-CN"/>
              </w:rPr>
            </w:pPr>
            <w:r>
              <w:rPr>
                <w:rFonts w:hint="default" w:ascii="Times New Roman" w:hAnsi="Times New Roman" w:cs="Times New Roman"/>
                <w:color w:val="0000FF"/>
                <w:kern w:val="0"/>
                <w:szCs w:val="21"/>
                <w:lang w:val="en-US" w:eastAsia="zh-CN"/>
              </w:rPr>
              <w:t>拟</w:t>
            </w:r>
            <w:r>
              <w:rPr>
                <w:rFonts w:hint="default" w:ascii="Times New Roman" w:hAnsi="Times New Roman" w:eastAsia="宋体" w:cs="Times New Roman"/>
                <w:color w:val="0000FF"/>
                <w:sz w:val="21"/>
                <w:szCs w:val="21"/>
                <w:lang w:val="en-US" w:eastAsia="zh-CN"/>
              </w:rPr>
              <w:t>建项目</w:t>
            </w:r>
            <w:r>
              <w:rPr>
                <w:rFonts w:hint="eastAsia" w:ascii="Times New Roman" w:hAnsi="Times New Roman" w:eastAsia="宋体" w:cs="Times New Roman"/>
                <w:color w:val="0000FF"/>
                <w:sz w:val="21"/>
                <w:szCs w:val="21"/>
                <w:lang w:val="en-US" w:eastAsia="zh-CN"/>
              </w:rPr>
              <w:t>位于大足区双桥工业园区，</w:t>
            </w:r>
            <w:r>
              <w:rPr>
                <w:rFonts w:hint="eastAsia" w:ascii="Times New Roman" w:hAnsi="Times New Roman" w:cs="Times New Roman"/>
                <w:color w:val="0000FF"/>
                <w:sz w:val="21"/>
                <w:szCs w:val="21"/>
                <w:lang w:val="en-US" w:eastAsia="zh-CN"/>
              </w:rPr>
              <w:t>周</w:t>
            </w:r>
            <w:r>
              <w:rPr>
                <w:rFonts w:hint="eastAsia" w:ascii="Times New Roman" w:hAnsi="Times New Roman" w:eastAsia="宋体" w:cs="Times New Roman"/>
                <w:color w:val="0000FF"/>
                <w:sz w:val="21"/>
                <w:szCs w:val="21"/>
                <w:lang w:val="en-US" w:eastAsia="zh-CN"/>
              </w:rPr>
              <w:t>边环境不敏感，区域环境空气质量现状较好</w:t>
            </w:r>
            <w:r>
              <w:rPr>
                <w:rFonts w:hint="eastAsia" w:ascii="Times New Roman" w:hAnsi="Times New Roman" w:cs="Times New Roman"/>
                <w:color w:val="0000FF"/>
                <w:sz w:val="21"/>
                <w:szCs w:val="21"/>
                <w:lang w:val="en-US" w:eastAsia="zh-CN"/>
              </w:rPr>
              <w:t>，</w:t>
            </w:r>
            <w:r>
              <w:rPr>
                <w:rFonts w:hint="default" w:ascii="Times New Roman" w:hAnsi="Times New Roman" w:eastAsia="宋体" w:cs="Times New Roman"/>
                <w:color w:val="0000FF"/>
                <w:sz w:val="21"/>
                <w:szCs w:val="21"/>
                <w:lang w:val="en-US" w:eastAsia="zh-CN"/>
              </w:rPr>
              <w:t>废气主要为挤出废气、拉伸废气及定型废气，主要污染因子为非甲烷总烃，经“</w:t>
            </w:r>
            <w:r>
              <w:rPr>
                <w:rFonts w:hint="eastAsia" w:ascii="Times New Roman" w:hAnsi="Times New Roman" w:eastAsia="宋体" w:cs="Times New Roman"/>
                <w:color w:val="0000FF"/>
                <w:sz w:val="21"/>
                <w:szCs w:val="21"/>
                <w:lang w:val="en-US" w:eastAsia="zh-CN"/>
              </w:rPr>
              <w:t>UV光解</w:t>
            </w:r>
            <w:r>
              <w:rPr>
                <w:rFonts w:hint="default" w:ascii="Times New Roman" w:hAnsi="Times New Roman" w:eastAsia="宋体" w:cs="Times New Roman"/>
                <w:color w:val="0000FF"/>
                <w:sz w:val="21"/>
                <w:szCs w:val="21"/>
                <w:lang w:val="en-US" w:eastAsia="zh-CN"/>
              </w:rPr>
              <w:t>+活性炭吸附装置”处理</w:t>
            </w:r>
            <w:r>
              <w:rPr>
                <w:rFonts w:hint="default" w:ascii="Times New Roman" w:hAnsi="Times New Roman" w:eastAsia="宋体" w:cs="Times New Roman"/>
                <w:color w:val="0000FF"/>
                <w:kern w:val="0"/>
                <w:szCs w:val="21"/>
                <w:lang w:val="en-US" w:eastAsia="zh-CN"/>
              </w:rPr>
              <w:t>后</w:t>
            </w:r>
            <w:r>
              <w:rPr>
                <w:rFonts w:hint="eastAsia" w:cs="Times New Roman"/>
                <w:color w:val="0000FF"/>
                <w:kern w:val="0"/>
                <w:szCs w:val="21"/>
                <w:lang w:val="en-US" w:eastAsia="zh-CN"/>
              </w:rPr>
              <w:t>达标</w:t>
            </w:r>
            <w:r>
              <w:rPr>
                <w:rFonts w:hint="default" w:ascii="Times New Roman" w:hAnsi="Times New Roman" w:eastAsia="宋体" w:cs="Times New Roman"/>
                <w:color w:val="0000FF"/>
                <w:kern w:val="0"/>
                <w:szCs w:val="21"/>
                <w:lang w:val="en-US" w:eastAsia="zh-CN"/>
              </w:rPr>
              <w:t>排放，</w:t>
            </w:r>
            <w:r>
              <w:rPr>
                <w:rFonts w:hint="eastAsia" w:cs="Times New Roman"/>
                <w:color w:val="0000FF"/>
                <w:kern w:val="0"/>
                <w:szCs w:val="21"/>
                <w:lang w:val="en-US" w:eastAsia="zh-CN"/>
              </w:rPr>
              <w:t>污染物排放量小，</w:t>
            </w:r>
            <w:r>
              <w:rPr>
                <w:rFonts w:hint="default" w:ascii="Times New Roman" w:hAnsi="Times New Roman" w:eastAsia="宋体" w:cs="Times New Roman"/>
                <w:color w:val="0000FF"/>
                <w:kern w:val="0"/>
                <w:szCs w:val="21"/>
                <w:lang w:val="en-US" w:eastAsia="zh-CN"/>
              </w:rPr>
              <w:t>对环境空气影响可接受。</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1.4排污口设置及监测要求</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color w:val="0000FF"/>
                <w:kern w:val="0"/>
                <w:szCs w:val="21"/>
                <w:highlight w:val="none"/>
                <w:lang w:val="en-US" w:eastAsia="zh-CN"/>
              </w:rPr>
              <w:t>根据国家标准《环境保护图形标志》（GB15562.1-1995）排放口（源）、《环境保护图形标志》（GB15562.2-1995）和国家环保总局《排污口规范化整治要求(试行)》及</w:t>
            </w:r>
            <w:r>
              <w:rPr>
                <w:rFonts w:hint="default" w:ascii="Times New Roman" w:hAnsi="Times New Roman" w:eastAsia="宋体" w:cs="Times New Roman"/>
                <w:color w:val="0000FF"/>
                <w:kern w:val="0"/>
                <w:szCs w:val="21"/>
                <w:lang w:val="en-US" w:eastAsia="zh-CN"/>
              </w:rPr>
              <w:t>《重庆市环境保护局关于印发重庆市排污口规范化清理整治实施方案的通知》（渝</w:t>
            </w:r>
            <w:r>
              <w:rPr>
                <w:rFonts w:hint="default" w:ascii="Times New Roman" w:hAnsi="Times New Roman" w:eastAsia="宋体" w:cs="Times New Roman"/>
                <w:color w:val="0000FF"/>
                <w:kern w:val="0"/>
                <w:szCs w:val="21"/>
                <w:highlight w:val="none"/>
                <w:lang w:val="en-US" w:eastAsia="zh-CN"/>
              </w:rPr>
              <w:t>环发</w:t>
            </w:r>
            <w:r>
              <w:rPr>
                <w:rFonts w:hint="eastAsia" w:cs="Times New Roman"/>
                <w:color w:val="0000FF"/>
                <w:kern w:val="0"/>
                <w:szCs w:val="21"/>
                <w:highlight w:val="none"/>
                <w:lang w:val="en-US" w:eastAsia="zh-CN"/>
              </w:rPr>
              <w:t>〔</w:t>
            </w:r>
            <w:r>
              <w:rPr>
                <w:rFonts w:hint="default" w:ascii="Times New Roman" w:hAnsi="Times New Roman" w:eastAsia="宋体" w:cs="Times New Roman"/>
                <w:color w:val="0000FF"/>
                <w:kern w:val="0"/>
                <w:szCs w:val="21"/>
                <w:highlight w:val="none"/>
                <w:lang w:val="en-US" w:eastAsia="zh-CN"/>
              </w:rPr>
              <w:t>2012</w:t>
            </w:r>
            <w:r>
              <w:rPr>
                <w:rFonts w:hint="eastAsia" w:cs="Times New Roman"/>
                <w:color w:val="0000FF"/>
                <w:kern w:val="0"/>
                <w:szCs w:val="21"/>
                <w:highlight w:val="none"/>
                <w:lang w:val="en-US" w:eastAsia="zh-CN"/>
              </w:rPr>
              <w:t>〕</w:t>
            </w:r>
            <w:r>
              <w:rPr>
                <w:rFonts w:hint="default" w:ascii="Times New Roman" w:hAnsi="Times New Roman" w:eastAsia="宋体" w:cs="Times New Roman"/>
                <w:color w:val="0000FF"/>
                <w:kern w:val="0"/>
                <w:szCs w:val="21"/>
                <w:highlight w:val="none"/>
                <w:lang w:val="en-US" w:eastAsia="zh-CN"/>
              </w:rPr>
              <w:t>26号）的技术要求。</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废气排放口设置要求如下：</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①所有废气排气筒应修建采样平台，设置监测采样口，采样口的设置应符合《污染源技术规范》要求；采样口必须设置常备电源。</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②排气筒应设置、注明以下内容：标准编号、污染源名称及型号；排放高度、出口直径；排气量、最大允许排放浓度；排放大气污染物的名称、排放强度（kg/h）和最大允许排放量。</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建设单位委托有资质的监测机构承担日常环境监测，监测的采样分析方法全部按照国家环保总局制定的操作规范进行。根据《排污许可证申请与核发技术规范  橡胶和塑料制品工业》（HJ1122—2020），环境监测计划详见表</w:t>
            </w:r>
            <w:r>
              <w:rPr>
                <w:rFonts w:hint="default" w:ascii="Times New Roman" w:hAnsi="Times New Roman" w:cs="Times New Roman"/>
                <w:kern w:val="0"/>
                <w:szCs w:val="21"/>
                <w:highlight w:val="none"/>
                <w:lang w:val="en-US" w:eastAsia="zh-CN"/>
              </w:rPr>
              <w:t>4</w:t>
            </w:r>
            <w:r>
              <w:rPr>
                <w:rFonts w:hint="default" w:ascii="Times New Roman" w:hAnsi="Times New Roman" w:eastAsia="宋体" w:cs="Times New Roman"/>
                <w:kern w:val="0"/>
                <w:szCs w:val="21"/>
                <w:highlight w:val="none"/>
                <w:lang w:val="en-US" w:eastAsia="zh-CN"/>
              </w:rPr>
              <w:t>-</w:t>
            </w:r>
            <w:r>
              <w:rPr>
                <w:rFonts w:hint="eastAsia" w:cs="Times New Roman"/>
                <w:kern w:val="0"/>
                <w:szCs w:val="21"/>
                <w:highlight w:val="none"/>
                <w:lang w:val="en-US" w:eastAsia="zh-CN"/>
              </w:rPr>
              <w:t>3</w:t>
            </w:r>
            <w:r>
              <w:rPr>
                <w:rFonts w:hint="default" w:ascii="Times New Roman" w:hAnsi="Times New Roman" w:eastAsia="宋体" w:cs="Times New Roman"/>
                <w:kern w:val="0"/>
                <w:szCs w:val="21"/>
                <w:highlight w:val="none"/>
                <w:lang w:val="en-US" w:eastAsia="zh-CN"/>
              </w:rPr>
              <w:t>。</w:t>
            </w:r>
          </w:p>
          <w:p>
            <w:pPr>
              <w:spacing w:line="360" w:lineRule="auto"/>
              <w:jc w:val="center"/>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表</w:t>
            </w:r>
            <w:r>
              <w:rPr>
                <w:rFonts w:hint="default" w:ascii="Times New Roman" w:hAnsi="Times New Roman" w:cs="Times New Roman"/>
                <w:kern w:val="0"/>
                <w:szCs w:val="21"/>
                <w:highlight w:val="none"/>
                <w:lang w:val="en-US" w:eastAsia="zh-CN"/>
              </w:rPr>
              <w:t>4</w:t>
            </w:r>
            <w:r>
              <w:rPr>
                <w:rFonts w:hint="default" w:ascii="Times New Roman" w:hAnsi="Times New Roman" w:eastAsia="宋体" w:cs="Times New Roman"/>
                <w:kern w:val="0"/>
                <w:szCs w:val="21"/>
                <w:highlight w:val="none"/>
                <w:lang w:val="en-US" w:eastAsia="zh-CN"/>
              </w:rPr>
              <w:t>-</w:t>
            </w:r>
            <w:r>
              <w:rPr>
                <w:rFonts w:hint="eastAsia" w:cs="Times New Roman"/>
                <w:kern w:val="0"/>
                <w:szCs w:val="21"/>
                <w:highlight w:val="none"/>
                <w:lang w:val="en-US" w:eastAsia="zh-CN"/>
              </w:rPr>
              <w:t>3</w:t>
            </w:r>
            <w:r>
              <w:rPr>
                <w:rFonts w:hint="default" w:ascii="Times New Roman" w:hAnsi="Times New Roman" w:eastAsia="宋体" w:cs="Times New Roman"/>
                <w:kern w:val="0"/>
                <w:szCs w:val="21"/>
                <w:highlight w:val="none"/>
                <w:lang w:val="en-US" w:eastAsia="zh-CN"/>
              </w:rPr>
              <w:t xml:space="preserve">  营运期污染源监测计划一览表</w:t>
            </w:r>
          </w:p>
          <w:tbl>
            <w:tblPr>
              <w:tblStyle w:val="19"/>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994"/>
              <w:gridCol w:w="1518"/>
              <w:gridCol w:w="1177"/>
              <w:gridCol w:w="1914"/>
              <w:gridCol w:w="13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监测类别</w:t>
                  </w:r>
                </w:p>
              </w:tc>
              <w:tc>
                <w:tcPr>
                  <w:tcW w:w="99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阶段</w:t>
                  </w:r>
                </w:p>
              </w:tc>
              <w:tc>
                <w:tcPr>
                  <w:tcW w:w="151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污染源</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监测位置</w:t>
                  </w:r>
                </w:p>
              </w:tc>
              <w:tc>
                <w:tcPr>
                  <w:tcW w:w="191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监测项目</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监测频率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4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废气</w:t>
                  </w:r>
                </w:p>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（有组织）</w:t>
                  </w:r>
                </w:p>
              </w:tc>
              <w:tc>
                <w:tcPr>
                  <w:tcW w:w="99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营运期</w:t>
                  </w:r>
                </w:p>
              </w:tc>
              <w:tc>
                <w:tcPr>
                  <w:tcW w:w="151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挤塑</w:t>
                  </w:r>
                  <w:r>
                    <w:rPr>
                      <w:rFonts w:hint="default" w:ascii="Times New Roman" w:hAnsi="Times New Roman" w:eastAsia="宋体" w:cs="Times New Roman"/>
                      <w:color w:val="auto"/>
                      <w:sz w:val="21"/>
                      <w:szCs w:val="21"/>
                      <w:lang w:val="en-US" w:eastAsia="zh-CN"/>
                    </w:rPr>
                    <w:t>等</w:t>
                  </w:r>
                  <w:r>
                    <w:rPr>
                      <w:rFonts w:hint="eastAsia" w:ascii="Times New Roman" w:hAnsi="Times New Roman" w:cs="Times New Roman"/>
                      <w:color w:val="auto"/>
                      <w:sz w:val="21"/>
                      <w:szCs w:val="21"/>
                      <w:lang w:val="en-US" w:eastAsia="zh-CN"/>
                    </w:rPr>
                    <w:t>环节</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1#排气筒</w:t>
                  </w:r>
                </w:p>
              </w:tc>
              <w:tc>
                <w:tcPr>
                  <w:tcW w:w="191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4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99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151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#排气筒</w:t>
                  </w:r>
                </w:p>
              </w:tc>
              <w:tc>
                <w:tcPr>
                  <w:tcW w:w="191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4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99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p>
              </w:tc>
              <w:tc>
                <w:tcPr>
                  <w:tcW w:w="151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食堂</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食堂油烟</w:t>
                  </w:r>
                </w:p>
              </w:tc>
              <w:tc>
                <w:tcPr>
                  <w:tcW w:w="191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油烟、非甲烷总烃</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1次/年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753"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废气（无组织）</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w:t>
                  </w:r>
                </w:p>
              </w:tc>
              <w:tc>
                <w:tcPr>
                  <w:tcW w:w="191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1次/年</w:t>
                  </w:r>
                </w:p>
              </w:tc>
            </w:tr>
          </w:tbl>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2.废水</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2.1废水源强核算</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项目产生的</w:t>
            </w:r>
            <w:r>
              <w:rPr>
                <w:rFonts w:hint="default" w:ascii="Times New Roman" w:hAnsi="Times New Roman" w:eastAsia="宋体" w:cs="Times New Roman"/>
                <w:kern w:val="0"/>
                <w:szCs w:val="21"/>
                <w:highlight w:val="none"/>
                <w:lang w:val="en-US" w:eastAsia="zh-CN"/>
              </w:rPr>
              <w:t>废水</w:t>
            </w:r>
            <w:r>
              <w:rPr>
                <w:rFonts w:hint="default" w:ascii="Times New Roman" w:hAnsi="Times New Roman" w:eastAsia="宋体" w:cs="Times New Roman"/>
                <w:sz w:val="21"/>
                <w:szCs w:val="21"/>
                <w:lang w:val="en-US" w:eastAsia="zh-CN"/>
              </w:rPr>
              <w:t>主要为地面清洁废水及</w:t>
            </w:r>
            <w:r>
              <w:rPr>
                <w:rFonts w:hint="default" w:ascii="Times New Roman" w:hAnsi="Times New Roman" w:cs="Times New Roman"/>
                <w:sz w:val="21"/>
                <w:szCs w:val="21"/>
                <w:lang w:val="en-US" w:eastAsia="zh-CN"/>
              </w:rPr>
              <w:t>生活污水（含食堂废水）</w:t>
            </w:r>
            <w:r>
              <w:rPr>
                <w:rFonts w:hint="default" w:ascii="Times New Roman" w:hAnsi="Times New Roman" w:eastAsia="宋体" w:cs="Times New Roman"/>
                <w:sz w:val="21"/>
                <w:szCs w:val="21"/>
                <w:lang w:val="en-US" w:eastAsia="zh-CN"/>
              </w:rPr>
              <w:t>。</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（1）地面清洁废水</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eastAsia" w:cs="Times New Roman"/>
                <w:color w:val="auto"/>
                <w:sz w:val="21"/>
                <w:szCs w:val="21"/>
                <w:lang w:val="en-US" w:eastAsia="zh-CN"/>
              </w:rPr>
              <w:t>拟建</w:t>
            </w:r>
            <w:r>
              <w:rPr>
                <w:rFonts w:hint="default" w:ascii="Times New Roman" w:hAnsi="Times New Roman" w:eastAsia="宋体" w:cs="Times New Roman"/>
                <w:color w:val="auto"/>
                <w:sz w:val="21"/>
                <w:szCs w:val="21"/>
                <w:lang w:val="en-US" w:eastAsia="zh-CN"/>
              </w:rPr>
              <w:t>项目地面清洁每1周1次，地</w:t>
            </w:r>
            <w:r>
              <w:rPr>
                <w:rFonts w:hint="default" w:ascii="Times New Roman" w:hAnsi="Times New Roman" w:eastAsia="宋体" w:cs="Times New Roman"/>
                <w:color w:val="auto"/>
                <w:kern w:val="0"/>
                <w:szCs w:val="21"/>
                <w:highlight w:val="none"/>
                <w:lang w:val="en-US" w:eastAsia="zh-CN"/>
              </w:rPr>
              <w:t>面清洁用水量为</w:t>
            </w:r>
            <w:r>
              <w:rPr>
                <w:rFonts w:hint="eastAsia" w:cs="Times New Roman"/>
                <w:color w:val="auto"/>
                <w:kern w:val="0"/>
                <w:szCs w:val="21"/>
                <w:highlight w:val="none"/>
                <w:lang w:val="en-US" w:eastAsia="zh-CN"/>
              </w:rPr>
              <w:t>1.0</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/d（</w:t>
            </w:r>
            <w:r>
              <w:rPr>
                <w:rFonts w:hint="eastAsia" w:cs="Times New Roman"/>
                <w:color w:val="auto"/>
                <w:kern w:val="0"/>
                <w:szCs w:val="21"/>
                <w:highlight w:val="none"/>
                <w:lang w:val="en-US" w:eastAsia="zh-CN"/>
              </w:rPr>
              <w:t>48</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/a），排污系数取0.9，则地面清洁废水产生量约</w:t>
            </w:r>
            <w:r>
              <w:rPr>
                <w:rFonts w:hint="eastAsia" w:cs="Times New Roman"/>
                <w:color w:val="auto"/>
                <w:kern w:val="0"/>
                <w:szCs w:val="21"/>
                <w:highlight w:val="none"/>
                <w:lang w:val="en-US" w:eastAsia="zh-CN"/>
              </w:rPr>
              <w:t>0.9</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/d（</w:t>
            </w:r>
            <w:r>
              <w:rPr>
                <w:rFonts w:hint="eastAsia" w:cs="Times New Roman"/>
                <w:color w:val="auto"/>
                <w:kern w:val="0"/>
                <w:szCs w:val="21"/>
                <w:highlight w:val="none"/>
                <w:lang w:val="en-US" w:eastAsia="zh-CN"/>
              </w:rPr>
              <w:t>43.2</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/a），主要污染因子为COD、BOD</w:t>
            </w:r>
            <w:r>
              <w:rPr>
                <w:rFonts w:hint="default" w:ascii="Times New Roman" w:hAnsi="Times New Roman" w:eastAsia="宋体" w:cs="Times New Roman"/>
                <w:color w:val="auto"/>
                <w:kern w:val="0"/>
                <w:szCs w:val="21"/>
                <w:highlight w:val="none"/>
                <w:vertAlign w:val="subscript"/>
                <w:lang w:val="en-US" w:eastAsia="zh-CN"/>
              </w:rPr>
              <w:t>5</w:t>
            </w:r>
            <w:r>
              <w:rPr>
                <w:rFonts w:hint="default" w:ascii="Times New Roman" w:hAnsi="Times New Roman" w:eastAsia="宋体" w:cs="Times New Roman"/>
                <w:color w:val="auto"/>
                <w:kern w:val="0"/>
                <w:szCs w:val="21"/>
                <w:highlight w:val="none"/>
                <w:lang w:val="en-US" w:eastAsia="zh-CN"/>
              </w:rPr>
              <w:t>、SS、氨氮，排入</w:t>
            </w:r>
            <w:r>
              <w:rPr>
                <w:rFonts w:hint="default" w:ascii="Times New Roman" w:hAnsi="Times New Roman" w:eastAsia="宋体" w:cs="Times New Roman"/>
                <w:color w:val="auto"/>
                <w:kern w:val="2"/>
                <w:sz w:val="21"/>
                <w:szCs w:val="21"/>
                <w:highlight w:val="none"/>
                <w:lang w:val="en-US" w:eastAsia="zh-CN" w:bidi="ar-SA"/>
              </w:rPr>
              <w:t>已建生化池</w:t>
            </w:r>
            <w:r>
              <w:rPr>
                <w:rFonts w:hint="default" w:ascii="Times New Roman" w:hAnsi="Times New Roman" w:eastAsia="宋体" w:cs="Times New Roman"/>
                <w:color w:val="auto"/>
                <w:kern w:val="0"/>
                <w:szCs w:val="21"/>
                <w:highlight w:val="none"/>
                <w:lang w:val="en-US" w:eastAsia="zh-CN"/>
              </w:rPr>
              <w:t>内</w:t>
            </w:r>
            <w:r>
              <w:rPr>
                <w:rFonts w:hint="eastAsia" w:cs="Times New Roman"/>
                <w:color w:val="auto"/>
                <w:kern w:val="0"/>
                <w:szCs w:val="21"/>
                <w:highlight w:val="none"/>
                <w:lang w:val="en-US" w:eastAsia="zh-CN"/>
              </w:rPr>
              <w:t>进行处理</w:t>
            </w:r>
            <w:r>
              <w:rPr>
                <w:rFonts w:hint="default" w:ascii="Times New Roman" w:hAnsi="Times New Roman" w:eastAsia="宋体" w:cs="Times New Roman"/>
                <w:color w:val="auto"/>
                <w:kern w:val="0"/>
                <w:szCs w:val="21"/>
                <w:highlight w:val="none"/>
                <w:lang w:val="en-US" w:eastAsia="zh-CN"/>
              </w:rPr>
              <w:t>。</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（2）</w:t>
            </w:r>
            <w:r>
              <w:rPr>
                <w:rFonts w:hint="default" w:ascii="Times New Roman" w:hAnsi="Times New Roman" w:cs="Times New Roman"/>
                <w:kern w:val="0"/>
                <w:szCs w:val="21"/>
                <w:highlight w:val="none"/>
                <w:lang w:val="en-US" w:eastAsia="zh-CN"/>
              </w:rPr>
              <w:t>生活污水（含食堂废水）</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拟建</w:t>
            </w:r>
            <w:r>
              <w:rPr>
                <w:rFonts w:hint="default" w:ascii="Times New Roman" w:hAnsi="Times New Roman" w:eastAsia="宋体" w:cs="Times New Roman"/>
                <w:kern w:val="0"/>
                <w:szCs w:val="21"/>
                <w:highlight w:val="none"/>
                <w:lang w:val="en-US" w:eastAsia="zh-CN"/>
              </w:rPr>
              <w:t>项目</w:t>
            </w:r>
            <w:r>
              <w:rPr>
                <w:rFonts w:hint="default" w:ascii="Times New Roman" w:hAnsi="Times New Roman" w:eastAsia="宋体" w:cs="Times New Roman"/>
                <w:sz w:val="21"/>
                <w:szCs w:val="21"/>
                <w:lang w:val="en-US" w:eastAsia="zh-CN"/>
              </w:rPr>
              <w:t>劳动</w:t>
            </w:r>
            <w:r>
              <w:rPr>
                <w:rFonts w:hint="default" w:ascii="Times New Roman" w:hAnsi="Times New Roman" w:eastAsia="宋体" w:cs="Times New Roman"/>
                <w:kern w:val="0"/>
                <w:szCs w:val="21"/>
                <w:highlight w:val="none"/>
                <w:lang w:val="en-US" w:eastAsia="zh-CN"/>
              </w:rPr>
              <w:t>定员</w:t>
            </w:r>
            <w:r>
              <w:rPr>
                <w:rFonts w:hint="default" w:ascii="Times New Roman" w:hAnsi="Times New Roman" w:cs="Times New Roman"/>
                <w:kern w:val="0"/>
                <w:szCs w:val="21"/>
                <w:highlight w:val="none"/>
                <w:lang w:val="en-US" w:eastAsia="zh-CN"/>
              </w:rPr>
              <w:t>为10</w:t>
            </w:r>
            <w:r>
              <w:rPr>
                <w:rFonts w:hint="default" w:ascii="Times New Roman" w:hAnsi="Times New Roman" w:eastAsia="宋体" w:cs="Times New Roman"/>
                <w:kern w:val="0"/>
                <w:szCs w:val="21"/>
                <w:highlight w:val="none"/>
                <w:lang w:val="en-US" w:eastAsia="zh-CN"/>
              </w:rPr>
              <w:t>人，生活用水</w:t>
            </w:r>
            <w:r>
              <w:rPr>
                <w:rFonts w:hint="default" w:ascii="Times New Roman" w:hAnsi="Times New Roman" w:cs="Times New Roman"/>
                <w:kern w:val="0"/>
                <w:szCs w:val="21"/>
                <w:highlight w:val="none"/>
                <w:lang w:val="en-US" w:eastAsia="zh-CN"/>
              </w:rPr>
              <w:t>（含食堂</w:t>
            </w:r>
            <w:r>
              <w:rPr>
                <w:rFonts w:hint="eastAsia" w:cs="Times New Roman"/>
                <w:kern w:val="0"/>
                <w:szCs w:val="21"/>
                <w:highlight w:val="none"/>
                <w:lang w:val="en-US" w:eastAsia="zh-CN"/>
              </w:rPr>
              <w:t>用水</w:t>
            </w:r>
            <w:r>
              <w:rPr>
                <w:rFonts w:hint="default" w:ascii="Times New Roman" w:hAnsi="Times New Roman" w:cs="Times New Roman"/>
                <w:kern w:val="0"/>
                <w:szCs w:val="21"/>
                <w:highlight w:val="none"/>
                <w:lang w:val="en-US" w:eastAsia="zh-CN"/>
              </w:rPr>
              <w:t>）</w:t>
            </w:r>
            <w:r>
              <w:rPr>
                <w:rFonts w:hint="default" w:ascii="Times New Roman" w:hAnsi="Times New Roman" w:eastAsia="宋体" w:cs="Times New Roman"/>
                <w:kern w:val="0"/>
                <w:szCs w:val="21"/>
                <w:highlight w:val="none"/>
                <w:lang w:val="en-US" w:eastAsia="zh-CN"/>
              </w:rPr>
              <w:t>按</w:t>
            </w:r>
            <w:r>
              <w:rPr>
                <w:rFonts w:hint="eastAsia" w:cs="Times New Roman"/>
                <w:kern w:val="0"/>
                <w:szCs w:val="21"/>
                <w:highlight w:val="none"/>
                <w:lang w:val="en-US" w:eastAsia="zh-CN"/>
              </w:rPr>
              <w:t>15</w:t>
            </w:r>
            <w:r>
              <w:rPr>
                <w:rFonts w:hint="default" w:ascii="Times New Roman" w:hAnsi="Times New Roman" w:cs="Times New Roman"/>
                <w:kern w:val="0"/>
                <w:szCs w:val="21"/>
                <w:highlight w:val="none"/>
                <w:lang w:val="en-US" w:eastAsia="zh-CN"/>
              </w:rPr>
              <w:t>0</w:t>
            </w:r>
            <w:r>
              <w:rPr>
                <w:rFonts w:hint="default" w:ascii="Times New Roman" w:hAnsi="Times New Roman" w:eastAsia="宋体" w:cs="Times New Roman"/>
                <w:kern w:val="0"/>
                <w:szCs w:val="21"/>
                <w:highlight w:val="none"/>
                <w:lang w:val="en-US" w:eastAsia="zh-CN"/>
              </w:rPr>
              <w:t>L/d计，则</w:t>
            </w:r>
            <w:r>
              <w:rPr>
                <w:rFonts w:hint="default" w:ascii="Times New Roman" w:hAnsi="Times New Roman" w:cs="Times New Roman"/>
                <w:kern w:val="0"/>
                <w:szCs w:val="21"/>
                <w:highlight w:val="none"/>
                <w:lang w:val="en-US" w:eastAsia="zh-CN"/>
              </w:rPr>
              <w:t>拟建</w:t>
            </w:r>
            <w:r>
              <w:rPr>
                <w:rFonts w:hint="default" w:ascii="Times New Roman" w:hAnsi="Times New Roman" w:eastAsia="宋体" w:cs="Times New Roman"/>
                <w:kern w:val="0"/>
                <w:szCs w:val="21"/>
                <w:highlight w:val="none"/>
                <w:lang w:val="en-US" w:eastAsia="zh-CN"/>
              </w:rPr>
              <w:t>项目生活用水量为</w:t>
            </w:r>
            <w:r>
              <w:rPr>
                <w:rFonts w:hint="eastAsia" w:cs="Times New Roman"/>
                <w:kern w:val="0"/>
                <w:szCs w:val="21"/>
                <w:highlight w:val="none"/>
                <w:lang w:val="en-US" w:eastAsia="zh-CN"/>
              </w:rPr>
              <w:t>1.5</w:t>
            </w:r>
            <w:r>
              <w:rPr>
                <w:rFonts w:hint="default" w:ascii="Times New Roman" w:hAnsi="Times New Roman" w:eastAsia="宋体" w:cs="Times New Roman"/>
                <w:kern w:val="0"/>
                <w:szCs w:val="21"/>
                <w:highlight w:val="none"/>
                <w:lang w:val="en-US" w:eastAsia="zh-CN"/>
              </w:rPr>
              <w:t>m</w:t>
            </w:r>
            <w:r>
              <w:rPr>
                <w:rFonts w:hint="default" w:ascii="Times New Roman" w:hAnsi="Times New Roman" w:eastAsia="宋体" w:cs="Times New Roman"/>
                <w:kern w:val="0"/>
                <w:szCs w:val="21"/>
                <w:highlight w:val="none"/>
                <w:vertAlign w:val="superscript"/>
                <w:lang w:val="en-US" w:eastAsia="zh-CN"/>
              </w:rPr>
              <w:t>3</w:t>
            </w:r>
            <w:r>
              <w:rPr>
                <w:rFonts w:hint="default" w:ascii="Times New Roman" w:hAnsi="Times New Roman" w:eastAsia="宋体" w:cs="Times New Roman"/>
                <w:kern w:val="0"/>
                <w:szCs w:val="21"/>
                <w:highlight w:val="none"/>
                <w:lang w:val="en-US" w:eastAsia="zh-CN"/>
              </w:rPr>
              <w:t>/d（</w:t>
            </w:r>
            <w:r>
              <w:rPr>
                <w:rFonts w:hint="eastAsia" w:cs="Times New Roman"/>
                <w:kern w:val="0"/>
                <w:szCs w:val="21"/>
                <w:highlight w:val="none"/>
                <w:lang w:val="en-US" w:eastAsia="zh-CN"/>
              </w:rPr>
              <w:t>495</w:t>
            </w:r>
            <w:r>
              <w:rPr>
                <w:rFonts w:hint="default" w:ascii="Times New Roman" w:hAnsi="Times New Roman" w:eastAsia="宋体" w:cs="Times New Roman"/>
                <w:kern w:val="0"/>
                <w:szCs w:val="21"/>
                <w:highlight w:val="none"/>
                <w:lang w:val="en-US" w:eastAsia="zh-CN"/>
              </w:rPr>
              <w:t>m</w:t>
            </w:r>
            <w:r>
              <w:rPr>
                <w:rFonts w:hint="default" w:ascii="Times New Roman" w:hAnsi="Times New Roman" w:eastAsia="宋体" w:cs="Times New Roman"/>
                <w:kern w:val="0"/>
                <w:szCs w:val="21"/>
                <w:highlight w:val="none"/>
                <w:vertAlign w:val="superscript"/>
                <w:lang w:val="en-US" w:eastAsia="zh-CN"/>
              </w:rPr>
              <w:t>3</w:t>
            </w:r>
            <w:r>
              <w:rPr>
                <w:rFonts w:hint="default" w:ascii="Times New Roman" w:hAnsi="Times New Roman" w:eastAsia="宋体" w:cs="Times New Roman"/>
                <w:kern w:val="0"/>
                <w:szCs w:val="21"/>
                <w:highlight w:val="none"/>
                <w:lang w:val="en-US" w:eastAsia="zh-CN"/>
              </w:rPr>
              <w:t>/a），排污系数取0.9，则</w:t>
            </w:r>
            <w:r>
              <w:rPr>
                <w:rFonts w:hint="default" w:ascii="Times New Roman" w:hAnsi="Times New Roman" w:cs="Times New Roman"/>
                <w:kern w:val="0"/>
                <w:szCs w:val="21"/>
                <w:highlight w:val="none"/>
                <w:lang w:val="en-US" w:eastAsia="zh-CN"/>
              </w:rPr>
              <w:t>拟建</w:t>
            </w:r>
            <w:r>
              <w:rPr>
                <w:rFonts w:hint="default" w:ascii="Times New Roman" w:hAnsi="Times New Roman" w:eastAsia="宋体" w:cs="Times New Roman"/>
                <w:kern w:val="0"/>
                <w:szCs w:val="21"/>
                <w:highlight w:val="none"/>
                <w:lang w:val="en-US" w:eastAsia="zh-CN"/>
              </w:rPr>
              <w:t>项目</w:t>
            </w:r>
            <w:r>
              <w:rPr>
                <w:rFonts w:hint="default" w:ascii="Times New Roman" w:hAnsi="Times New Roman" w:cs="Times New Roman"/>
                <w:kern w:val="0"/>
                <w:szCs w:val="21"/>
                <w:highlight w:val="none"/>
                <w:lang w:val="en-US" w:eastAsia="zh-CN"/>
              </w:rPr>
              <w:t>生活污水（含食堂废水）</w:t>
            </w:r>
            <w:r>
              <w:rPr>
                <w:rFonts w:hint="default" w:ascii="Times New Roman" w:hAnsi="Times New Roman" w:eastAsia="宋体" w:cs="Times New Roman"/>
                <w:kern w:val="0"/>
                <w:szCs w:val="21"/>
                <w:highlight w:val="none"/>
                <w:lang w:val="en-US" w:eastAsia="zh-CN"/>
              </w:rPr>
              <w:t>产生量约</w:t>
            </w:r>
            <w:r>
              <w:rPr>
                <w:rFonts w:hint="eastAsia" w:cs="Times New Roman"/>
                <w:kern w:val="0"/>
                <w:szCs w:val="21"/>
                <w:highlight w:val="none"/>
                <w:lang w:val="en-US" w:eastAsia="zh-CN"/>
              </w:rPr>
              <w:t>1.35</w:t>
            </w:r>
            <w:r>
              <w:rPr>
                <w:rFonts w:hint="default" w:ascii="Times New Roman" w:hAnsi="Times New Roman" w:eastAsia="宋体" w:cs="Times New Roman"/>
                <w:kern w:val="0"/>
                <w:szCs w:val="21"/>
                <w:highlight w:val="none"/>
                <w:lang w:val="en-US" w:eastAsia="zh-CN"/>
              </w:rPr>
              <w:t>m</w:t>
            </w:r>
            <w:r>
              <w:rPr>
                <w:rFonts w:hint="default" w:ascii="Times New Roman" w:hAnsi="Times New Roman" w:eastAsia="宋体" w:cs="Times New Roman"/>
                <w:kern w:val="0"/>
                <w:szCs w:val="21"/>
                <w:highlight w:val="none"/>
                <w:vertAlign w:val="superscript"/>
                <w:lang w:val="en-US" w:eastAsia="zh-CN"/>
              </w:rPr>
              <w:t>3</w:t>
            </w:r>
            <w:r>
              <w:rPr>
                <w:rFonts w:hint="default" w:ascii="Times New Roman" w:hAnsi="Times New Roman" w:eastAsia="宋体" w:cs="Times New Roman"/>
                <w:kern w:val="0"/>
                <w:szCs w:val="21"/>
                <w:highlight w:val="none"/>
                <w:lang w:val="en-US" w:eastAsia="zh-CN"/>
              </w:rPr>
              <w:t>/d（</w:t>
            </w:r>
            <w:r>
              <w:rPr>
                <w:rFonts w:hint="eastAsia" w:cs="Times New Roman"/>
                <w:kern w:val="0"/>
                <w:szCs w:val="21"/>
                <w:highlight w:val="none"/>
                <w:lang w:val="en-US" w:eastAsia="zh-CN"/>
              </w:rPr>
              <w:t>445.5</w:t>
            </w:r>
            <w:r>
              <w:rPr>
                <w:rFonts w:hint="default" w:ascii="Times New Roman" w:hAnsi="Times New Roman" w:eastAsia="宋体" w:cs="Times New Roman"/>
                <w:kern w:val="0"/>
                <w:szCs w:val="21"/>
                <w:highlight w:val="none"/>
                <w:lang w:val="en-US" w:eastAsia="zh-CN"/>
              </w:rPr>
              <w:t>m</w:t>
            </w:r>
            <w:r>
              <w:rPr>
                <w:rFonts w:hint="default" w:ascii="Times New Roman" w:hAnsi="Times New Roman" w:eastAsia="宋体" w:cs="Times New Roman"/>
                <w:kern w:val="0"/>
                <w:szCs w:val="21"/>
                <w:highlight w:val="none"/>
                <w:vertAlign w:val="superscript"/>
                <w:lang w:val="en-US" w:eastAsia="zh-CN"/>
              </w:rPr>
              <w:t>3</w:t>
            </w:r>
            <w:r>
              <w:rPr>
                <w:rFonts w:hint="default" w:ascii="Times New Roman" w:hAnsi="Times New Roman" w:eastAsia="宋体" w:cs="Times New Roman"/>
                <w:kern w:val="0"/>
                <w:szCs w:val="21"/>
                <w:highlight w:val="none"/>
                <w:lang w:val="en-US" w:eastAsia="zh-CN"/>
              </w:rPr>
              <w:t>/a），主要污染因子为COD、BOD</w:t>
            </w:r>
            <w:r>
              <w:rPr>
                <w:rFonts w:hint="default" w:ascii="Times New Roman" w:hAnsi="Times New Roman" w:eastAsia="宋体" w:cs="Times New Roman"/>
                <w:kern w:val="0"/>
                <w:szCs w:val="21"/>
                <w:highlight w:val="none"/>
                <w:vertAlign w:val="subscript"/>
                <w:lang w:val="en-US" w:eastAsia="zh-CN"/>
              </w:rPr>
              <w:t>5</w:t>
            </w:r>
            <w:r>
              <w:rPr>
                <w:rFonts w:hint="default" w:ascii="Times New Roman" w:hAnsi="Times New Roman" w:eastAsia="宋体" w:cs="Times New Roman"/>
                <w:kern w:val="0"/>
                <w:szCs w:val="21"/>
                <w:highlight w:val="none"/>
                <w:lang w:val="en-US" w:eastAsia="zh-CN"/>
              </w:rPr>
              <w:t>、SS、氨氮</w:t>
            </w:r>
            <w:r>
              <w:rPr>
                <w:rFonts w:hint="default" w:ascii="Times New Roman" w:hAnsi="Times New Roman" w:cs="Times New Roman"/>
                <w:kern w:val="0"/>
                <w:szCs w:val="21"/>
                <w:highlight w:val="none"/>
                <w:lang w:val="en-US" w:eastAsia="zh-CN"/>
              </w:rPr>
              <w:t>、动植物油</w:t>
            </w:r>
            <w:r>
              <w:rPr>
                <w:rFonts w:hint="default" w:ascii="Times New Roman" w:hAnsi="Times New Roman" w:eastAsia="宋体" w:cs="Times New Roman"/>
                <w:kern w:val="0"/>
                <w:szCs w:val="21"/>
                <w:highlight w:val="none"/>
                <w:lang w:val="en-US" w:eastAsia="zh-CN"/>
              </w:rPr>
              <w:t>。</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r>
              <w:rPr>
                <w:rFonts w:hint="eastAsia" w:cs="Times New Roman"/>
                <w:sz w:val="21"/>
                <w:szCs w:val="21"/>
                <w:lang w:val="en-US" w:eastAsia="zh-CN"/>
              </w:rPr>
              <w:t>冷却水补充水</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生产线中涉及的冷却</w:t>
            </w:r>
            <w:r>
              <w:rPr>
                <w:rFonts w:hint="eastAsia" w:ascii="Times New Roman" w:hAnsi="Times New Roman" w:cs="Times New Roman"/>
                <w:sz w:val="21"/>
                <w:szCs w:val="21"/>
                <w:lang w:val="en-US" w:eastAsia="zh-CN"/>
              </w:rPr>
              <w:t>环节</w:t>
            </w:r>
            <w:r>
              <w:rPr>
                <w:rFonts w:hint="default" w:ascii="Times New Roman" w:hAnsi="Times New Roman" w:cs="Times New Roman"/>
                <w:sz w:val="21"/>
                <w:szCs w:val="21"/>
                <w:lang w:val="en-US" w:eastAsia="zh-CN"/>
              </w:rPr>
              <w:t>及冷</w:t>
            </w:r>
            <w:r>
              <w:rPr>
                <w:rFonts w:hint="default" w:ascii="Times New Roman" w:hAnsi="Times New Roman" w:cs="Times New Roman"/>
                <w:color w:val="auto"/>
                <w:sz w:val="21"/>
                <w:szCs w:val="21"/>
                <w:lang w:val="en-US" w:eastAsia="zh-CN"/>
              </w:rPr>
              <w:t>却定型</w:t>
            </w:r>
            <w:r>
              <w:rPr>
                <w:rFonts w:hint="default" w:ascii="Times New Roman" w:hAnsi="Times New Roman" w:eastAsia="宋体" w:cs="Times New Roman"/>
                <w:color w:val="auto"/>
                <w:sz w:val="21"/>
                <w:szCs w:val="21"/>
                <w:lang w:val="en-US" w:eastAsia="zh-CN"/>
              </w:rPr>
              <w:t>期间使用</w:t>
            </w:r>
            <w:r>
              <w:rPr>
                <w:rFonts w:hint="default" w:ascii="Times New Roman" w:hAnsi="Times New Roman" w:cs="Times New Roman"/>
                <w:color w:val="auto"/>
                <w:sz w:val="21"/>
                <w:szCs w:val="21"/>
                <w:lang w:val="en-US" w:eastAsia="zh-CN"/>
              </w:rPr>
              <w:t>冷水</w:t>
            </w:r>
            <w:r>
              <w:rPr>
                <w:rFonts w:hint="default" w:ascii="Times New Roman" w:hAnsi="Times New Roman" w:eastAsia="宋体" w:cs="Times New Roman"/>
                <w:color w:val="auto"/>
                <w:sz w:val="21"/>
                <w:szCs w:val="21"/>
                <w:lang w:val="en-US" w:eastAsia="zh-CN"/>
              </w:rPr>
              <w:t>，采用</w:t>
            </w:r>
            <w:r>
              <w:rPr>
                <w:rFonts w:hint="eastAsia" w:cs="Times New Roman"/>
                <w:color w:val="auto"/>
                <w:sz w:val="21"/>
                <w:szCs w:val="21"/>
                <w:lang w:val="en-US" w:eastAsia="zh-CN"/>
              </w:rPr>
              <w:t>直接冷却</w:t>
            </w:r>
            <w:r>
              <w:rPr>
                <w:rFonts w:hint="default" w:ascii="Times New Roman" w:hAnsi="Times New Roman" w:eastAsia="宋体" w:cs="Times New Roman"/>
                <w:color w:val="auto"/>
                <w:sz w:val="21"/>
                <w:szCs w:val="21"/>
                <w:lang w:val="en-US" w:eastAsia="zh-CN"/>
              </w:rPr>
              <w:t>方式，定期补充新鲜水0.0</w:t>
            </w:r>
            <w:r>
              <w:rPr>
                <w:rFonts w:hint="eastAsia" w:cs="Times New Roman"/>
                <w:color w:val="auto"/>
                <w:sz w:val="21"/>
                <w:szCs w:val="21"/>
                <w:lang w:val="en-US" w:eastAsia="zh-CN"/>
              </w:rPr>
              <w:t>7</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/d，不外排</w:t>
            </w:r>
            <w:r>
              <w:rPr>
                <w:rFonts w:hint="eastAsia" w:cs="Times New Roman"/>
                <w:sz w:val="21"/>
                <w:szCs w:val="21"/>
                <w:lang w:val="en-US" w:eastAsia="zh-CN"/>
              </w:rPr>
              <w:t>；生产线涉及的</w:t>
            </w:r>
            <w:r>
              <w:rPr>
                <w:rFonts w:hint="eastAsia" w:cs="Times New Roman"/>
                <w:color w:val="auto"/>
                <w:lang w:val="en-US" w:eastAsia="zh-CN"/>
              </w:rPr>
              <w:t>挤出、成型环节采用冷却水塔冷却，由于采用间接冷却方式，不外排。</w:t>
            </w:r>
          </w:p>
          <w:p>
            <w:pPr>
              <w:spacing w:line="360" w:lineRule="auto"/>
              <w:ind w:firstLine="420" w:firstLineChars="200"/>
              <w:rPr>
                <w:rFonts w:hint="default" w:ascii="Times New Roman" w:hAnsi="Times New Roman" w:eastAsia="宋体" w:cs="Times New Roman"/>
                <w:sz w:val="21"/>
                <w:szCs w:val="21"/>
              </w:rPr>
            </w:pPr>
            <w:r>
              <w:rPr>
                <w:rFonts w:hint="eastAsia" w:cs="Times New Roman"/>
                <w:sz w:val="21"/>
                <w:szCs w:val="21"/>
                <w:lang w:val="en-US" w:eastAsia="zh-CN"/>
              </w:rPr>
              <w:t>拟建</w:t>
            </w:r>
            <w:r>
              <w:rPr>
                <w:rFonts w:hint="default" w:ascii="Times New Roman" w:hAnsi="Times New Roman" w:eastAsia="宋体" w:cs="Times New Roman"/>
                <w:sz w:val="21"/>
                <w:szCs w:val="21"/>
                <w:lang w:val="en-US" w:eastAsia="zh-CN"/>
              </w:rPr>
              <w:t>项目废水产生及排放情况表详见表</w:t>
            </w:r>
            <w:r>
              <w:rPr>
                <w:rFonts w:hint="eastAsia" w:cs="Times New Roman"/>
                <w:sz w:val="21"/>
                <w:szCs w:val="21"/>
                <w:lang w:val="en-US" w:eastAsia="zh-CN"/>
              </w:rPr>
              <w:t>4-4</w:t>
            </w:r>
            <w:r>
              <w:rPr>
                <w:rFonts w:hint="default" w:ascii="Times New Roman" w:hAnsi="Times New Roman" w:eastAsia="宋体" w:cs="Times New Roman"/>
                <w:sz w:val="21"/>
                <w:szCs w:val="21"/>
                <w:lang w:val="en-US" w:eastAsia="zh-CN"/>
              </w:rPr>
              <w:t>。</w:t>
            </w:r>
          </w:p>
          <w:p>
            <w:pPr>
              <w:spacing w:line="360" w:lineRule="auto"/>
              <w:jc w:val="center"/>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color w:val="0000FF"/>
                <w:sz w:val="21"/>
                <w:szCs w:val="21"/>
                <w:highlight w:val="none"/>
              </w:rPr>
              <w:t>表</w:t>
            </w:r>
            <w:r>
              <w:rPr>
                <w:rFonts w:hint="eastAsia" w:cs="Times New Roman"/>
                <w:color w:val="0000FF"/>
                <w:sz w:val="21"/>
                <w:szCs w:val="21"/>
                <w:highlight w:val="none"/>
                <w:lang w:val="en-US" w:eastAsia="zh-CN"/>
              </w:rPr>
              <w:t>4-4</w:t>
            </w:r>
            <w:r>
              <w:rPr>
                <w:rFonts w:hint="default" w:ascii="Times New Roman" w:hAnsi="Times New Roman" w:eastAsia="宋体" w:cs="Times New Roman"/>
                <w:color w:val="0000FF"/>
                <w:sz w:val="21"/>
                <w:szCs w:val="21"/>
                <w:highlight w:val="none"/>
              </w:rPr>
              <w:t xml:space="preserve">  </w:t>
            </w:r>
            <w:r>
              <w:rPr>
                <w:rFonts w:hint="eastAsia" w:cs="Times New Roman"/>
                <w:color w:val="0000FF"/>
                <w:sz w:val="21"/>
                <w:szCs w:val="21"/>
                <w:highlight w:val="none"/>
                <w:lang w:val="en-US" w:eastAsia="zh-CN"/>
              </w:rPr>
              <w:t>拟建</w:t>
            </w:r>
            <w:r>
              <w:rPr>
                <w:rFonts w:hint="default" w:ascii="Times New Roman" w:hAnsi="Times New Roman" w:eastAsia="宋体" w:cs="Times New Roman"/>
                <w:color w:val="0000FF"/>
                <w:sz w:val="21"/>
                <w:szCs w:val="21"/>
                <w:highlight w:val="none"/>
                <w:lang w:val="en-US" w:eastAsia="zh-CN"/>
              </w:rPr>
              <w:t>项目</w:t>
            </w:r>
            <w:r>
              <w:rPr>
                <w:rFonts w:hint="default" w:ascii="Times New Roman" w:hAnsi="Times New Roman" w:eastAsia="宋体" w:cs="Times New Roman"/>
                <w:color w:val="0000FF"/>
                <w:sz w:val="21"/>
                <w:szCs w:val="21"/>
                <w:highlight w:val="none"/>
              </w:rPr>
              <w:t>废</w:t>
            </w:r>
            <w:r>
              <w:rPr>
                <w:rFonts w:hint="default" w:ascii="Times New Roman" w:hAnsi="Times New Roman" w:eastAsia="宋体" w:cs="Times New Roman"/>
                <w:color w:val="0000FF"/>
                <w:sz w:val="21"/>
                <w:szCs w:val="21"/>
                <w:highlight w:val="none"/>
                <w:lang w:val="en-US" w:eastAsia="zh-CN"/>
              </w:rPr>
              <w:t>水产生及</w:t>
            </w:r>
            <w:r>
              <w:rPr>
                <w:rFonts w:hint="default" w:ascii="Times New Roman" w:hAnsi="Times New Roman" w:eastAsia="宋体" w:cs="Times New Roman"/>
                <w:color w:val="0000FF"/>
                <w:sz w:val="21"/>
                <w:szCs w:val="21"/>
                <w:highlight w:val="none"/>
              </w:rPr>
              <w:t>排放情况表</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452"/>
              <w:gridCol w:w="452"/>
              <w:gridCol w:w="560"/>
              <w:gridCol w:w="537"/>
              <w:gridCol w:w="504"/>
              <w:gridCol w:w="529"/>
              <w:gridCol w:w="584"/>
              <w:gridCol w:w="513"/>
              <w:gridCol w:w="1064"/>
              <w:gridCol w:w="452"/>
              <w:gridCol w:w="491"/>
              <w:gridCol w:w="603"/>
              <w:gridCol w:w="501"/>
              <w:gridCol w:w="727"/>
              <w:gridCol w:w="2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生产线</w:t>
                  </w:r>
                </w:p>
              </w:tc>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装置</w:t>
                  </w:r>
                </w:p>
              </w:tc>
              <w:tc>
                <w:tcPr>
                  <w:tcW w:w="56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污染源</w:t>
                  </w:r>
                </w:p>
              </w:tc>
              <w:tc>
                <w:tcPr>
                  <w:tcW w:w="53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eastAsia="zh-CN"/>
                    </w:rPr>
                  </w:pPr>
                  <w:r>
                    <w:rPr>
                      <w:rFonts w:hint="eastAsia" w:cs="Times New Roman"/>
                      <w:color w:val="0000FF"/>
                      <w:sz w:val="18"/>
                      <w:szCs w:val="18"/>
                      <w:lang w:val="en-US" w:eastAsia="zh-CN"/>
                    </w:rPr>
                    <w:t>污染物</w:t>
                  </w:r>
                </w:p>
              </w:tc>
              <w:tc>
                <w:tcPr>
                  <w:tcW w:w="213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污染物产生</w:t>
                  </w:r>
                </w:p>
              </w:tc>
              <w:tc>
                <w:tcPr>
                  <w:tcW w:w="151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lang w:val="en-US" w:eastAsia="zh-CN"/>
                    </w:rPr>
                    <w:t>治理情况</w:t>
                  </w:r>
                </w:p>
              </w:tc>
              <w:tc>
                <w:tcPr>
                  <w:tcW w:w="2322"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cs="Times New Roman"/>
                      <w:color w:val="0000FF"/>
                      <w:sz w:val="18"/>
                      <w:szCs w:val="18"/>
                    </w:rPr>
                    <w:t>排放情况</w:t>
                  </w:r>
                </w:p>
              </w:tc>
              <w:tc>
                <w:tcPr>
                  <w:tcW w:w="25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cs="Times New Roman"/>
                      <w:color w:val="0000FF"/>
                      <w:sz w:val="18"/>
                      <w:szCs w:val="18"/>
                    </w:rPr>
                    <w:t>排放时间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p>
              </w:tc>
              <w:tc>
                <w:tcPr>
                  <w:tcW w:w="53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p>
              </w:tc>
              <w:tc>
                <w:tcPr>
                  <w:tcW w:w="50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r>
                    <w:rPr>
                      <w:rFonts w:hint="eastAsia" w:cs="Times New Roman"/>
                      <w:color w:val="0000FF"/>
                      <w:sz w:val="18"/>
                      <w:szCs w:val="18"/>
                      <w:lang w:val="en-US" w:eastAsia="zh-CN"/>
                    </w:rPr>
                    <w:t>核算方法</w:t>
                  </w:r>
                </w:p>
              </w:tc>
              <w:tc>
                <w:tcPr>
                  <w:tcW w:w="52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产生废水量（m</w:t>
                  </w:r>
                  <w:r>
                    <w:rPr>
                      <w:rFonts w:hint="eastAsia" w:cs="Times New Roman"/>
                      <w:color w:val="0000FF"/>
                      <w:sz w:val="18"/>
                      <w:szCs w:val="18"/>
                      <w:vertAlign w:val="superscript"/>
                      <w:lang w:val="en-US" w:eastAsia="zh-CN"/>
                    </w:rPr>
                    <w:t>3</w:t>
                  </w:r>
                  <w:r>
                    <w:rPr>
                      <w:rFonts w:hint="eastAsia" w:cs="Times New Roman"/>
                      <w:color w:val="0000FF"/>
                      <w:sz w:val="18"/>
                      <w:szCs w:val="18"/>
                      <w:lang w:val="en-US" w:eastAsia="zh-CN"/>
                    </w:rPr>
                    <w:t>/h）</w:t>
                  </w:r>
                </w:p>
              </w:tc>
              <w:tc>
                <w:tcPr>
                  <w:tcW w:w="58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rPr>
                    <w:t>产生</w:t>
                  </w:r>
                </w:p>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rPr>
                    <w:t>浓度</w:t>
                  </w:r>
                </w:p>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eastAsia="zh-CN"/>
                    </w:rPr>
                  </w:pPr>
                  <w:r>
                    <w:rPr>
                      <w:rFonts w:hint="default" w:ascii="Times New Roman" w:hAnsi="Times New Roman" w:cs="Times New Roman"/>
                      <w:color w:val="0000FF"/>
                      <w:sz w:val="18"/>
                      <w:szCs w:val="18"/>
                      <w:lang w:val="en-US" w:eastAsia="zh-CN"/>
                    </w:rPr>
                    <w:t>(</w:t>
                  </w:r>
                  <w:r>
                    <w:rPr>
                      <w:rFonts w:hint="default" w:ascii="Times New Roman" w:hAnsi="Times New Roman" w:cs="Times New Roman"/>
                      <w:color w:val="0000FF"/>
                      <w:sz w:val="18"/>
                      <w:szCs w:val="18"/>
                    </w:rPr>
                    <w:t>mg/</w:t>
                  </w:r>
                  <w:r>
                    <w:rPr>
                      <w:rFonts w:hint="eastAsia" w:cs="Times New Roman"/>
                      <w:color w:val="0000FF"/>
                      <w:sz w:val="18"/>
                      <w:szCs w:val="18"/>
                      <w:lang w:val="en-US" w:eastAsia="zh-CN"/>
                    </w:rPr>
                    <w:t>L</w:t>
                  </w:r>
                  <w:r>
                    <w:rPr>
                      <w:rFonts w:hint="default" w:ascii="Times New Roman" w:hAnsi="Times New Roman" w:cs="Times New Roman"/>
                      <w:color w:val="0000FF"/>
                      <w:sz w:val="18"/>
                      <w:szCs w:val="18"/>
                      <w:lang w:val="en-US" w:eastAsia="zh-CN"/>
                    </w:rPr>
                    <w:t>)</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eastAsia="zh-CN"/>
                    </w:rPr>
                  </w:pPr>
                  <w:r>
                    <w:rPr>
                      <w:rFonts w:hint="default" w:ascii="Times New Roman" w:hAnsi="Times New Roman" w:cs="Times New Roman"/>
                      <w:color w:val="0000FF"/>
                      <w:sz w:val="18"/>
                      <w:szCs w:val="18"/>
                    </w:rPr>
                    <w:t>产生量</w:t>
                  </w:r>
                  <w:r>
                    <w:rPr>
                      <w:rFonts w:hint="default" w:ascii="Times New Roman" w:hAnsi="Times New Roman" w:cs="Times New Roman"/>
                      <w:color w:val="0000FF"/>
                      <w:sz w:val="18"/>
                      <w:szCs w:val="18"/>
                      <w:lang w:val="en-US" w:eastAsia="zh-CN"/>
                    </w:rPr>
                    <w:t>(</w:t>
                  </w:r>
                  <w:r>
                    <w:rPr>
                      <w:rFonts w:hint="eastAsia" w:cs="Times New Roman"/>
                      <w:color w:val="0000FF"/>
                      <w:sz w:val="18"/>
                      <w:szCs w:val="18"/>
                      <w:lang w:val="en-US" w:eastAsia="zh-CN"/>
                    </w:rPr>
                    <w:t>kg</w:t>
                  </w:r>
                  <w:r>
                    <w:rPr>
                      <w:rFonts w:hint="default" w:ascii="Times New Roman" w:hAnsi="Times New Roman" w:cs="Times New Roman"/>
                      <w:color w:val="0000FF"/>
                      <w:sz w:val="18"/>
                      <w:szCs w:val="18"/>
                    </w:rPr>
                    <w:t>/</w:t>
                  </w:r>
                  <w:r>
                    <w:rPr>
                      <w:rFonts w:hint="eastAsia" w:cs="Times New Roman"/>
                      <w:color w:val="0000FF"/>
                      <w:sz w:val="18"/>
                      <w:szCs w:val="18"/>
                      <w:lang w:val="en-US" w:eastAsia="zh-CN"/>
                    </w:rPr>
                    <w:t>h</w:t>
                  </w:r>
                  <w:r>
                    <w:rPr>
                      <w:rFonts w:hint="default" w:ascii="Times New Roman" w:hAnsi="Times New Roman" w:cs="Times New Roman"/>
                      <w:color w:val="0000FF"/>
                      <w:sz w:val="18"/>
                      <w:szCs w:val="18"/>
                      <w:lang w:val="en-US" w:eastAsia="zh-CN"/>
                    </w:rPr>
                    <w:t>)</w:t>
                  </w:r>
                </w:p>
              </w:tc>
              <w:tc>
                <w:tcPr>
                  <w:tcW w:w="106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工艺</w:t>
                  </w: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cs="Times New Roman"/>
                      <w:color w:val="0000FF"/>
                      <w:sz w:val="18"/>
                      <w:szCs w:val="18"/>
                      <w:lang w:val="en-US" w:eastAsia="zh-CN"/>
                    </w:rPr>
                    <w:t>效率</w:t>
                  </w:r>
                  <w:r>
                    <w:rPr>
                      <w:rFonts w:hint="eastAsia" w:cs="Times New Roman"/>
                      <w:color w:val="0000FF"/>
                      <w:sz w:val="18"/>
                      <w:szCs w:val="18"/>
                      <w:lang w:val="en-US" w:eastAsia="zh-CN"/>
                    </w:rPr>
                    <w:t>%</w:t>
                  </w:r>
                </w:p>
              </w:tc>
              <w:tc>
                <w:tcPr>
                  <w:tcW w:w="4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eastAsia="zh-CN"/>
                    </w:rPr>
                  </w:pPr>
                  <w:r>
                    <w:rPr>
                      <w:rFonts w:hint="eastAsia" w:cs="Times New Roman"/>
                      <w:color w:val="0000FF"/>
                      <w:sz w:val="18"/>
                      <w:szCs w:val="18"/>
                      <w:lang w:val="en-US" w:eastAsia="zh-CN"/>
                    </w:rPr>
                    <w:t>核算方法</w:t>
                  </w:r>
                </w:p>
              </w:tc>
              <w:tc>
                <w:tcPr>
                  <w:tcW w:w="60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eastAsia="zh-CN"/>
                    </w:rPr>
                  </w:pPr>
                  <w:r>
                    <w:rPr>
                      <w:rFonts w:hint="eastAsia" w:cs="Times New Roman"/>
                      <w:color w:val="0000FF"/>
                      <w:sz w:val="18"/>
                      <w:szCs w:val="18"/>
                      <w:lang w:val="en-US" w:eastAsia="zh-CN"/>
                    </w:rPr>
                    <w:t>排放废水量（m</w:t>
                  </w:r>
                  <w:r>
                    <w:rPr>
                      <w:rFonts w:hint="eastAsia" w:cs="Times New Roman"/>
                      <w:color w:val="0000FF"/>
                      <w:sz w:val="18"/>
                      <w:szCs w:val="18"/>
                      <w:vertAlign w:val="superscript"/>
                      <w:lang w:val="en-US" w:eastAsia="zh-CN"/>
                    </w:rPr>
                    <w:t>3</w:t>
                  </w:r>
                  <w:r>
                    <w:rPr>
                      <w:rFonts w:hint="eastAsia" w:cs="Times New Roman"/>
                      <w:color w:val="0000FF"/>
                      <w:sz w:val="18"/>
                      <w:szCs w:val="18"/>
                      <w:lang w:val="en-US" w:eastAsia="zh-CN"/>
                    </w:rPr>
                    <w:t>/h）</w:t>
                  </w: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排放</w:t>
                  </w:r>
                </w:p>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r>
                    <w:rPr>
                      <w:rFonts w:hint="default" w:ascii="Times New Roman" w:hAnsi="Times New Roman" w:cs="Times New Roman"/>
                      <w:color w:val="0000FF"/>
                      <w:sz w:val="18"/>
                      <w:szCs w:val="18"/>
                    </w:rPr>
                    <w:t>浓度</w:t>
                  </w:r>
                </w:p>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eastAsia="zh-CN"/>
                    </w:rPr>
                  </w:pPr>
                  <w:r>
                    <w:rPr>
                      <w:rFonts w:hint="default" w:ascii="Times New Roman" w:hAnsi="Times New Roman" w:cs="Times New Roman"/>
                      <w:color w:val="0000FF"/>
                      <w:sz w:val="18"/>
                      <w:szCs w:val="18"/>
                      <w:lang w:val="en-US" w:eastAsia="zh-CN"/>
                    </w:rPr>
                    <w:t>(</w:t>
                  </w:r>
                  <w:r>
                    <w:rPr>
                      <w:rFonts w:hint="default" w:ascii="Times New Roman" w:hAnsi="Times New Roman" w:cs="Times New Roman"/>
                      <w:color w:val="0000FF"/>
                      <w:sz w:val="18"/>
                      <w:szCs w:val="18"/>
                    </w:rPr>
                    <w:t>mg/</w:t>
                  </w:r>
                  <w:r>
                    <w:rPr>
                      <w:rFonts w:hint="eastAsia" w:cs="Times New Roman"/>
                      <w:color w:val="0000FF"/>
                      <w:sz w:val="18"/>
                      <w:szCs w:val="18"/>
                      <w:lang w:val="en-US" w:eastAsia="zh-CN"/>
                    </w:rPr>
                    <w:t>L</w:t>
                  </w:r>
                  <w:r>
                    <w:rPr>
                      <w:rFonts w:hint="default" w:ascii="Times New Roman" w:hAnsi="Times New Roman"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r>
                    <w:rPr>
                      <w:rFonts w:hint="eastAsia" w:cs="Times New Roman"/>
                      <w:color w:val="0000FF"/>
                      <w:sz w:val="18"/>
                      <w:szCs w:val="18"/>
                      <w:lang w:val="en-US" w:eastAsia="zh-CN"/>
                    </w:rPr>
                    <w:t>排放</w:t>
                  </w:r>
                  <w:r>
                    <w:rPr>
                      <w:rFonts w:hint="default" w:ascii="Times New Roman" w:hAnsi="Times New Roman" w:cs="Times New Roman"/>
                      <w:color w:val="0000FF"/>
                      <w:sz w:val="18"/>
                      <w:szCs w:val="18"/>
                    </w:rPr>
                    <w:t>量</w:t>
                  </w:r>
                  <w:r>
                    <w:rPr>
                      <w:rFonts w:hint="default" w:ascii="Times New Roman" w:hAnsi="Times New Roman" w:cs="Times New Roman"/>
                      <w:color w:val="0000FF"/>
                      <w:sz w:val="18"/>
                      <w:szCs w:val="18"/>
                      <w:lang w:val="en-US" w:eastAsia="zh-CN"/>
                    </w:rPr>
                    <w:t>(</w:t>
                  </w:r>
                  <w:r>
                    <w:rPr>
                      <w:rFonts w:hint="eastAsia" w:cs="Times New Roman"/>
                      <w:color w:val="0000FF"/>
                      <w:sz w:val="18"/>
                      <w:szCs w:val="18"/>
                      <w:lang w:val="en-US" w:eastAsia="zh-CN"/>
                    </w:rPr>
                    <w:t>kg/h</w:t>
                  </w:r>
                  <w:r>
                    <w:rPr>
                      <w:rFonts w:hint="default" w:ascii="Times New Roman" w:hAnsi="Times New Roman"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cs="Times New Roman"/>
                      <w:color w:val="0000FF"/>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56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地面清洁废水</w:t>
                  </w: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highlight w:val="none"/>
                      <w:lang w:val="en-US" w:eastAsia="zh-CN"/>
                    </w:rPr>
                  </w:pPr>
                  <w:r>
                    <w:rPr>
                      <w:rFonts w:hint="default" w:ascii="Times New Roman" w:hAnsi="Times New Roman" w:cs="Times New Roman"/>
                      <w:color w:val="0000FF"/>
                      <w:sz w:val="18"/>
                      <w:szCs w:val="18"/>
                      <w:lang w:val="en-US" w:eastAsia="zh-CN"/>
                    </w:rPr>
                    <w:t>COD</w:t>
                  </w:r>
                </w:p>
              </w:tc>
              <w:tc>
                <w:tcPr>
                  <w:tcW w:w="50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52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0.005</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600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0.079</w:t>
                  </w:r>
                </w:p>
              </w:tc>
              <w:tc>
                <w:tcPr>
                  <w:tcW w:w="106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依托厂区已建生化池处理</w:t>
                  </w: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highlight w:val="none"/>
                      <w:lang w:val="en-US" w:eastAsia="zh-CN"/>
                    </w:rPr>
                    <w:t>物料平衡</w:t>
                  </w:r>
                </w:p>
              </w:tc>
              <w:tc>
                <w:tcPr>
                  <w:tcW w:w="60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0.005</w:t>
                  </w: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7920</w:t>
                  </w:r>
                  <w:r>
                    <w:rPr>
                      <w:rFonts w:hint="default" w:ascii="Times New Roman" w:hAnsi="Times New Roman" w:eastAsia="宋体" w:cs="Times New Roman"/>
                      <w:color w:val="0000FF"/>
                      <w:sz w:val="18"/>
                      <w:szCs w:val="18"/>
                      <w:lang w:val="en-US" w:eastAsia="zh-CN"/>
                    </w:rPr>
                    <w:t>h/a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default" w:ascii="Times New Roman" w:hAnsi="Times New Roman" w:cs="Times New Roman"/>
                      <w:color w:val="0000FF"/>
                      <w:sz w:val="18"/>
                      <w:szCs w:val="18"/>
                      <w:lang w:val="en-US" w:eastAsia="zh-CN"/>
                    </w:rPr>
                    <w:t>BOD</w:t>
                  </w:r>
                  <w:r>
                    <w:rPr>
                      <w:rFonts w:hint="default" w:ascii="Times New Roman" w:hAnsi="Times New Roman" w:cs="Times New Roman"/>
                      <w:color w:val="0000FF"/>
                      <w:sz w:val="18"/>
                      <w:szCs w:val="18"/>
                      <w:vertAlign w:val="subscript"/>
                      <w:lang w:val="en-US" w:eastAsia="zh-CN"/>
                    </w:rPr>
                    <w:t>5</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400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0.052</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default" w:ascii="Times New Roman" w:hAnsi="Times New Roman" w:cs="Times New Roman"/>
                      <w:color w:val="0000FF"/>
                      <w:sz w:val="18"/>
                      <w:szCs w:val="18"/>
                      <w:lang w:val="en-US" w:eastAsia="zh-CN"/>
                    </w:rPr>
                    <w:t>SS</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300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0.039</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default" w:ascii="Times New Roman" w:hAnsi="Times New Roman" w:cs="Times New Roman"/>
                      <w:color w:val="0000FF"/>
                      <w:sz w:val="18"/>
                      <w:szCs w:val="18"/>
                      <w:lang w:val="en-US" w:eastAsia="zh-CN"/>
                    </w:rPr>
                    <w:t>NH</w:t>
                  </w:r>
                  <w:r>
                    <w:rPr>
                      <w:rFonts w:hint="default" w:ascii="Times New Roman" w:hAnsi="Times New Roman" w:cs="Times New Roman"/>
                      <w:color w:val="0000FF"/>
                      <w:sz w:val="18"/>
                      <w:szCs w:val="18"/>
                      <w:vertAlign w:val="subscript"/>
                      <w:lang w:val="en-US" w:eastAsia="zh-CN"/>
                    </w:rPr>
                    <w:t>3</w:t>
                  </w:r>
                  <w:r>
                    <w:rPr>
                      <w:rFonts w:hint="default" w:ascii="Times New Roman" w:hAnsi="Times New Roman" w:cs="Times New Roman"/>
                      <w:color w:val="0000FF"/>
                      <w:sz w:val="18"/>
                      <w:szCs w:val="18"/>
                      <w:lang w:val="en-US" w:eastAsia="zh-CN"/>
                    </w:rPr>
                    <w:t>-N</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50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0.006</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生活污水（含食堂废水）</w:t>
                  </w: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default" w:ascii="Times New Roman" w:hAnsi="Times New Roman" w:cs="Times New Roman"/>
                      <w:color w:val="0000FF"/>
                      <w:sz w:val="18"/>
                      <w:szCs w:val="18"/>
                      <w:lang w:val="en-US" w:eastAsia="zh-CN"/>
                    </w:rPr>
                    <w:t>COD</w:t>
                  </w:r>
                </w:p>
              </w:tc>
              <w:tc>
                <w:tcPr>
                  <w:tcW w:w="50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52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0.056</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500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0.675</w:t>
                  </w:r>
                </w:p>
              </w:tc>
              <w:tc>
                <w:tcPr>
                  <w:tcW w:w="106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食堂废水隔油池隔油处理后，依托厂区已建生化池处理</w:t>
                  </w: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60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0.056</w:t>
                  </w: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default" w:ascii="Times New Roman" w:hAnsi="Times New Roman" w:cs="Times New Roman"/>
                      <w:color w:val="0000FF"/>
                      <w:sz w:val="18"/>
                      <w:szCs w:val="18"/>
                      <w:lang w:val="en-US" w:eastAsia="zh-CN"/>
                    </w:rPr>
                    <w:t>BOD</w:t>
                  </w:r>
                  <w:r>
                    <w:rPr>
                      <w:rFonts w:hint="default" w:ascii="Times New Roman" w:hAnsi="Times New Roman" w:cs="Times New Roman"/>
                      <w:color w:val="0000FF"/>
                      <w:sz w:val="18"/>
                      <w:szCs w:val="18"/>
                      <w:vertAlign w:val="subscript"/>
                      <w:lang w:val="en-US" w:eastAsia="zh-CN"/>
                    </w:rPr>
                    <w:t>5</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300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0.405</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default" w:ascii="Times New Roman" w:hAnsi="Times New Roman" w:cs="Times New Roman"/>
                      <w:color w:val="0000FF"/>
                      <w:kern w:val="2"/>
                      <w:sz w:val="18"/>
                      <w:szCs w:val="18"/>
                      <w:lang w:val="en-US" w:eastAsia="zh-CN" w:bidi="ar-SA"/>
                    </w:rPr>
                    <w:t>SS</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400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0.540</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default" w:ascii="Times New Roman" w:hAnsi="Times New Roman" w:cs="Times New Roman"/>
                      <w:color w:val="0000FF"/>
                      <w:sz w:val="18"/>
                      <w:szCs w:val="18"/>
                      <w:lang w:val="en-US" w:eastAsia="zh-CN"/>
                    </w:rPr>
                    <w:t>NH</w:t>
                  </w:r>
                  <w:r>
                    <w:rPr>
                      <w:rFonts w:hint="default" w:ascii="Times New Roman" w:hAnsi="Times New Roman" w:cs="Times New Roman"/>
                      <w:color w:val="0000FF"/>
                      <w:sz w:val="18"/>
                      <w:szCs w:val="18"/>
                      <w:vertAlign w:val="subscript"/>
                      <w:lang w:val="en-US" w:eastAsia="zh-CN"/>
                    </w:rPr>
                    <w:t>3</w:t>
                  </w:r>
                  <w:r>
                    <w:rPr>
                      <w:rFonts w:hint="default" w:ascii="Times New Roman" w:hAnsi="Times New Roman" w:cs="Times New Roman"/>
                      <w:color w:val="0000FF"/>
                      <w:sz w:val="18"/>
                      <w:szCs w:val="18"/>
                      <w:lang w:val="en-US" w:eastAsia="zh-CN"/>
                    </w:rPr>
                    <w:t>-N</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default" w:ascii="Times New Roman" w:hAnsi="Times New Roman" w:eastAsia="宋体" w:cs="Times New Roman"/>
                      <w:color w:val="0000FF"/>
                      <w:sz w:val="18"/>
                      <w:szCs w:val="18"/>
                      <w:lang w:val="en-US" w:eastAsia="zh-CN"/>
                    </w:rPr>
                    <w:t>50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0.068</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eastAsia" w:cs="Times New Roman"/>
                      <w:color w:val="0000FF"/>
                      <w:sz w:val="18"/>
                      <w:szCs w:val="18"/>
                      <w:lang w:val="en-US" w:eastAsia="zh-CN"/>
                    </w:rPr>
                    <w:t>动植物油</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30</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0.041</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45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w:t>
                  </w:r>
                </w:p>
              </w:tc>
              <w:tc>
                <w:tcPr>
                  <w:tcW w:w="56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混合废水（三级排放标准）</w:t>
                  </w: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sz w:val="18"/>
                      <w:szCs w:val="18"/>
                      <w:lang w:val="en-US" w:eastAsia="zh-CN"/>
                    </w:rPr>
                    <w:t>COD</w:t>
                  </w:r>
                </w:p>
              </w:tc>
              <w:tc>
                <w:tcPr>
                  <w:tcW w:w="50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52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0.062</w:t>
                  </w: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509</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0.754</w:t>
                  </w:r>
                </w:p>
              </w:tc>
              <w:tc>
                <w:tcPr>
                  <w:tcW w:w="106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食堂废水隔油池隔油处理后，与其余废水混合依托厂区已建生化池处理</w:t>
                  </w: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ascii="Times New Roman" w:hAnsi="Times New Roman" w:eastAsia="宋体" w:cs="Times New Roman"/>
                      <w:color w:val="0000FF"/>
                      <w:sz w:val="18"/>
                      <w:szCs w:val="18"/>
                      <w:lang w:val="en-US" w:eastAsia="zh-CN"/>
                    </w:rPr>
                    <w:t>41</w:t>
                  </w:r>
                </w:p>
              </w:tc>
              <w:tc>
                <w:tcPr>
                  <w:tcW w:w="49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60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0.062</w:t>
                  </w: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300</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 xml:space="preserve">0.444 </w:t>
                  </w:r>
                </w:p>
              </w:tc>
              <w:tc>
                <w:tcPr>
                  <w:tcW w:w="25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7920</w:t>
                  </w:r>
                  <w:r>
                    <w:rPr>
                      <w:rFonts w:hint="default" w:ascii="Times New Roman" w:hAnsi="Times New Roman" w:eastAsia="宋体" w:cs="Times New Roman"/>
                      <w:color w:val="0000FF"/>
                      <w:sz w:val="18"/>
                      <w:szCs w:val="18"/>
                      <w:lang w:val="en-US" w:eastAsia="zh-CN"/>
                    </w:rPr>
                    <w:t>h/a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sz w:val="18"/>
                      <w:szCs w:val="18"/>
                      <w:lang w:val="en-US" w:eastAsia="zh-CN"/>
                    </w:rPr>
                    <w:t>BOD</w:t>
                  </w:r>
                  <w:r>
                    <w:rPr>
                      <w:rFonts w:hint="default" w:ascii="Times New Roman" w:hAnsi="Times New Roman" w:cs="Times New Roman"/>
                      <w:color w:val="0000FF"/>
                      <w:sz w:val="18"/>
                      <w:szCs w:val="18"/>
                      <w:vertAlign w:val="subscript"/>
                      <w:lang w:val="en-US" w:eastAsia="zh-CN"/>
                    </w:rPr>
                    <w:t>5</w:t>
                  </w:r>
                </w:p>
              </w:tc>
              <w:tc>
                <w:tcPr>
                  <w:tcW w:w="5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309</w:t>
                  </w:r>
                </w:p>
              </w:tc>
              <w:tc>
                <w:tcPr>
                  <w:tcW w:w="5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0.457</w:t>
                  </w:r>
                </w:p>
              </w:tc>
              <w:tc>
                <w:tcPr>
                  <w:tcW w:w="10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45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ascii="Times New Roman" w:hAnsi="Times New Roman" w:eastAsia="宋体" w:cs="Times New Roman"/>
                      <w:color w:val="0000FF"/>
                      <w:sz w:val="18"/>
                      <w:szCs w:val="18"/>
                      <w:lang w:val="en-US" w:eastAsia="zh-CN"/>
                    </w:rPr>
                    <w:t>35</w:t>
                  </w:r>
                </w:p>
              </w:tc>
              <w:tc>
                <w:tcPr>
                  <w:tcW w:w="4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200</w:t>
                  </w:r>
                </w:p>
              </w:tc>
              <w:tc>
                <w:tcPr>
                  <w:tcW w:w="72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 xml:space="preserve">0.296 </w:t>
                  </w:r>
                </w:p>
              </w:tc>
              <w:tc>
                <w:tcPr>
                  <w:tcW w:w="2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kern w:val="2"/>
                      <w:sz w:val="18"/>
                      <w:szCs w:val="18"/>
                      <w:lang w:val="en-US" w:eastAsia="zh-CN" w:bidi="ar-SA"/>
                    </w:rPr>
                    <w:t>SS</w:t>
                  </w:r>
                </w:p>
              </w:tc>
              <w:tc>
                <w:tcPr>
                  <w:tcW w:w="50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391</w:t>
                  </w: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0.579</w:t>
                  </w:r>
                </w:p>
              </w:tc>
              <w:tc>
                <w:tcPr>
                  <w:tcW w:w="106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ascii="Times New Roman" w:hAnsi="Times New Roman" w:eastAsia="宋体" w:cs="Times New Roman"/>
                      <w:color w:val="0000FF"/>
                      <w:sz w:val="18"/>
                      <w:szCs w:val="18"/>
                      <w:lang w:val="en-US" w:eastAsia="zh-CN"/>
                    </w:rPr>
                    <w:t>62</w:t>
                  </w:r>
                </w:p>
              </w:tc>
              <w:tc>
                <w:tcPr>
                  <w:tcW w:w="491"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150</w:t>
                  </w:r>
                </w:p>
              </w:tc>
              <w:tc>
                <w:tcPr>
                  <w:tcW w:w="727"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 xml:space="preserve">0.222 </w:t>
                  </w:r>
                </w:p>
              </w:tc>
              <w:tc>
                <w:tcPr>
                  <w:tcW w:w="257"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sz w:val="18"/>
                      <w:szCs w:val="18"/>
                      <w:lang w:val="en-US" w:eastAsia="zh-CN"/>
                    </w:rPr>
                    <w:t>NH</w:t>
                  </w:r>
                  <w:r>
                    <w:rPr>
                      <w:rFonts w:hint="default" w:ascii="Times New Roman" w:hAnsi="Times New Roman" w:cs="Times New Roman"/>
                      <w:color w:val="0000FF"/>
                      <w:sz w:val="18"/>
                      <w:szCs w:val="18"/>
                      <w:vertAlign w:val="subscript"/>
                      <w:lang w:val="en-US" w:eastAsia="zh-CN"/>
                    </w:rPr>
                    <w:t>3</w:t>
                  </w:r>
                  <w:r>
                    <w:rPr>
                      <w:rFonts w:hint="default" w:ascii="Times New Roman" w:hAnsi="Times New Roman" w:cs="Times New Roman"/>
                      <w:color w:val="0000FF"/>
                      <w:sz w:val="18"/>
                      <w:szCs w:val="18"/>
                      <w:lang w:val="en-US" w:eastAsia="zh-CN"/>
                    </w:rPr>
                    <w:t>-N</w:t>
                  </w:r>
                </w:p>
              </w:tc>
              <w:tc>
                <w:tcPr>
                  <w:tcW w:w="50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50</w:t>
                  </w: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0.074</w:t>
                  </w:r>
                </w:p>
              </w:tc>
              <w:tc>
                <w:tcPr>
                  <w:tcW w:w="106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ascii="Times New Roman" w:hAnsi="Times New Roman" w:eastAsia="宋体" w:cs="Times New Roman"/>
                      <w:color w:val="0000FF"/>
                      <w:sz w:val="18"/>
                      <w:szCs w:val="18"/>
                      <w:lang w:val="en-US" w:eastAsia="zh-CN"/>
                    </w:rPr>
                    <w:t>60</w:t>
                  </w:r>
                </w:p>
              </w:tc>
              <w:tc>
                <w:tcPr>
                  <w:tcW w:w="491"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20</w:t>
                  </w:r>
                </w:p>
              </w:tc>
              <w:tc>
                <w:tcPr>
                  <w:tcW w:w="727"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 xml:space="preserve">0.030 </w:t>
                  </w:r>
                </w:p>
              </w:tc>
              <w:tc>
                <w:tcPr>
                  <w:tcW w:w="257"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eastAsia" w:cs="Times New Roman"/>
                      <w:color w:val="0000FF"/>
                      <w:sz w:val="18"/>
                      <w:szCs w:val="18"/>
                      <w:lang w:val="en-US" w:eastAsia="zh-CN"/>
                    </w:rPr>
                    <w:t>动植物油</w:t>
                  </w:r>
                </w:p>
              </w:tc>
              <w:tc>
                <w:tcPr>
                  <w:tcW w:w="50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27</w:t>
                  </w: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0.041</w:t>
                  </w:r>
                </w:p>
              </w:tc>
              <w:tc>
                <w:tcPr>
                  <w:tcW w:w="106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ascii="Times New Roman" w:hAnsi="Times New Roman" w:eastAsia="宋体" w:cs="Times New Roman"/>
                      <w:color w:val="0000FF"/>
                      <w:sz w:val="18"/>
                      <w:szCs w:val="18"/>
                      <w:lang w:val="en-US" w:eastAsia="zh-CN"/>
                    </w:rPr>
                    <w:t>27</w:t>
                  </w:r>
                </w:p>
              </w:tc>
              <w:tc>
                <w:tcPr>
                  <w:tcW w:w="491"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300</w:t>
                  </w:r>
                </w:p>
              </w:tc>
              <w:tc>
                <w:tcPr>
                  <w:tcW w:w="727"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 xml:space="preserve">0.027 </w:t>
                  </w:r>
                </w:p>
              </w:tc>
              <w:tc>
                <w:tcPr>
                  <w:tcW w:w="257"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r>
                    <w:rPr>
                      <w:rFonts w:hint="eastAsia" w:cs="Times New Roman"/>
                      <w:color w:val="0000FF"/>
                      <w:sz w:val="18"/>
                      <w:szCs w:val="18"/>
                      <w:lang w:val="en-US" w:eastAsia="zh-CN"/>
                    </w:rPr>
                    <w:t>/</w:t>
                  </w:r>
                </w:p>
              </w:tc>
              <w:tc>
                <w:tcPr>
                  <w:tcW w:w="452"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r>
                    <w:rPr>
                      <w:rFonts w:hint="eastAsia" w:cs="Times New Roman"/>
                      <w:color w:val="0000FF"/>
                      <w:sz w:val="18"/>
                      <w:szCs w:val="18"/>
                      <w:lang w:val="en-US" w:eastAsia="zh-CN"/>
                    </w:rPr>
                    <w:t>/</w:t>
                  </w:r>
                </w:p>
              </w:tc>
              <w:tc>
                <w:tcPr>
                  <w:tcW w:w="560"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r>
                    <w:rPr>
                      <w:rFonts w:hint="eastAsia" w:cs="Times New Roman"/>
                      <w:color w:val="0000FF"/>
                      <w:sz w:val="18"/>
                      <w:szCs w:val="18"/>
                      <w:lang w:val="en-US" w:eastAsia="zh-CN"/>
                    </w:rPr>
                    <w:t>混合废水（三级排放标准）</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sz w:val="18"/>
                      <w:szCs w:val="18"/>
                      <w:lang w:val="en-US" w:eastAsia="zh-CN"/>
                    </w:rPr>
                    <w:t>COD</w:t>
                  </w:r>
                </w:p>
              </w:tc>
              <w:tc>
                <w:tcPr>
                  <w:tcW w:w="504"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529"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r>
                    <w:rPr>
                      <w:rFonts w:hint="eastAsia" w:cs="Times New Roman"/>
                      <w:color w:val="0000FF"/>
                      <w:sz w:val="18"/>
                      <w:szCs w:val="18"/>
                      <w:lang w:val="en-US" w:eastAsia="zh-CN"/>
                    </w:rPr>
                    <w:t>0.062</w:t>
                  </w: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509</w:t>
                  </w:r>
                </w:p>
              </w:tc>
              <w:tc>
                <w:tcPr>
                  <w:tcW w:w="51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0.754</w:t>
                  </w:r>
                </w:p>
              </w:tc>
              <w:tc>
                <w:tcPr>
                  <w:tcW w:w="1064"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双桥污水处理厂处理</w:t>
                  </w: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83</w:t>
                  </w:r>
                </w:p>
              </w:tc>
              <w:tc>
                <w:tcPr>
                  <w:tcW w:w="491"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r>
                    <w:rPr>
                      <w:rFonts w:hint="eastAsia" w:cs="Times New Roman"/>
                      <w:color w:val="0000FF"/>
                      <w:sz w:val="18"/>
                      <w:szCs w:val="18"/>
                      <w:highlight w:val="none"/>
                      <w:lang w:val="en-US" w:eastAsia="zh-CN"/>
                    </w:rPr>
                    <w:t>物料平衡</w:t>
                  </w:r>
                </w:p>
              </w:tc>
              <w:tc>
                <w:tcPr>
                  <w:tcW w:w="60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0.062</w:t>
                  </w: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50</w:t>
                  </w:r>
                </w:p>
              </w:tc>
              <w:tc>
                <w:tcPr>
                  <w:tcW w:w="727" w:type="dxa"/>
                  <w:vAlign w:val="center"/>
                </w:tcPr>
                <w:p>
                  <w:pPr>
                    <w:keepNext w:val="0"/>
                    <w:keepLines w:val="0"/>
                    <w:widowControl/>
                    <w:suppressLineNumbers w:val="0"/>
                    <w:jc w:val="both"/>
                    <w:textAlignment w:val="center"/>
                    <w:rPr>
                      <w:rFonts w:hint="default" w:cs="Times New Roman"/>
                      <w:color w:val="0000FF"/>
                      <w:sz w:val="18"/>
                      <w:szCs w:val="18"/>
                      <w:lang w:val="en-US" w:eastAsia="zh-CN"/>
                    </w:rPr>
                  </w:pPr>
                  <w:r>
                    <w:rPr>
                      <w:rFonts w:hint="eastAsia" w:cs="Times New Roman"/>
                      <w:color w:val="0000FF"/>
                      <w:sz w:val="18"/>
                      <w:szCs w:val="18"/>
                      <w:lang w:val="en-US" w:eastAsia="zh-CN"/>
                    </w:rPr>
                    <w:t>0.074</w:t>
                  </w:r>
                </w:p>
              </w:tc>
              <w:tc>
                <w:tcPr>
                  <w:tcW w:w="257" w:type="dxa"/>
                  <w:vMerge w:val="restart"/>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sz w:val="18"/>
                      <w:szCs w:val="18"/>
                      <w:lang w:val="en-US" w:eastAsia="zh-CN"/>
                    </w:rPr>
                    <w:t>BOD</w:t>
                  </w:r>
                  <w:r>
                    <w:rPr>
                      <w:rFonts w:hint="default" w:ascii="Times New Roman" w:hAnsi="Times New Roman" w:cs="Times New Roman"/>
                      <w:color w:val="0000FF"/>
                      <w:sz w:val="18"/>
                      <w:szCs w:val="18"/>
                      <w:vertAlign w:val="subscript"/>
                      <w:lang w:val="en-US" w:eastAsia="zh-CN"/>
                    </w:rPr>
                    <w:t>5</w:t>
                  </w:r>
                </w:p>
              </w:tc>
              <w:tc>
                <w:tcPr>
                  <w:tcW w:w="50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309</w:t>
                  </w:r>
                </w:p>
              </w:tc>
              <w:tc>
                <w:tcPr>
                  <w:tcW w:w="51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0.457</w:t>
                  </w:r>
                </w:p>
              </w:tc>
              <w:tc>
                <w:tcPr>
                  <w:tcW w:w="106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95</w:t>
                  </w:r>
                </w:p>
              </w:tc>
              <w:tc>
                <w:tcPr>
                  <w:tcW w:w="491"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10</w:t>
                  </w:r>
                </w:p>
              </w:tc>
              <w:tc>
                <w:tcPr>
                  <w:tcW w:w="727" w:type="dxa"/>
                  <w:vAlign w:val="center"/>
                </w:tcPr>
                <w:p>
                  <w:pPr>
                    <w:keepNext w:val="0"/>
                    <w:keepLines w:val="0"/>
                    <w:widowControl/>
                    <w:suppressLineNumbers w:val="0"/>
                    <w:jc w:val="both"/>
                    <w:textAlignment w:val="center"/>
                    <w:rPr>
                      <w:rFonts w:hint="default" w:cs="Times New Roman"/>
                      <w:color w:val="0000FF"/>
                      <w:sz w:val="18"/>
                      <w:szCs w:val="18"/>
                      <w:lang w:val="en-US" w:eastAsia="zh-CN"/>
                    </w:rPr>
                  </w:pPr>
                  <w:r>
                    <w:rPr>
                      <w:rFonts w:hint="eastAsia" w:cs="Times New Roman"/>
                      <w:color w:val="0000FF"/>
                      <w:sz w:val="18"/>
                      <w:szCs w:val="18"/>
                      <w:lang w:val="en-US" w:eastAsia="zh-CN"/>
                    </w:rPr>
                    <w:t>0.015</w:t>
                  </w:r>
                </w:p>
              </w:tc>
              <w:tc>
                <w:tcPr>
                  <w:tcW w:w="257"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kern w:val="2"/>
                      <w:sz w:val="18"/>
                      <w:szCs w:val="18"/>
                      <w:lang w:val="en-US" w:eastAsia="zh-CN" w:bidi="ar-SA"/>
                    </w:rPr>
                    <w:t>SS</w:t>
                  </w:r>
                </w:p>
              </w:tc>
              <w:tc>
                <w:tcPr>
                  <w:tcW w:w="50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391</w:t>
                  </w:r>
                </w:p>
              </w:tc>
              <w:tc>
                <w:tcPr>
                  <w:tcW w:w="51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0.579</w:t>
                  </w:r>
                </w:p>
              </w:tc>
              <w:tc>
                <w:tcPr>
                  <w:tcW w:w="106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93</w:t>
                  </w:r>
                </w:p>
              </w:tc>
              <w:tc>
                <w:tcPr>
                  <w:tcW w:w="491"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10</w:t>
                  </w:r>
                </w:p>
              </w:tc>
              <w:tc>
                <w:tcPr>
                  <w:tcW w:w="727" w:type="dxa"/>
                  <w:vAlign w:val="center"/>
                </w:tcPr>
                <w:p>
                  <w:pPr>
                    <w:keepNext w:val="0"/>
                    <w:keepLines w:val="0"/>
                    <w:widowControl/>
                    <w:suppressLineNumbers w:val="0"/>
                    <w:jc w:val="both"/>
                    <w:textAlignment w:val="center"/>
                    <w:rPr>
                      <w:rFonts w:hint="default" w:cs="Times New Roman"/>
                      <w:color w:val="0000FF"/>
                      <w:sz w:val="18"/>
                      <w:szCs w:val="18"/>
                      <w:lang w:val="en-US" w:eastAsia="zh-CN"/>
                    </w:rPr>
                  </w:pPr>
                  <w:r>
                    <w:rPr>
                      <w:rFonts w:hint="eastAsia" w:cs="Times New Roman"/>
                      <w:color w:val="0000FF"/>
                      <w:sz w:val="18"/>
                      <w:szCs w:val="18"/>
                      <w:lang w:val="en-US" w:eastAsia="zh-CN"/>
                    </w:rPr>
                    <w:t>0.015</w:t>
                  </w:r>
                </w:p>
              </w:tc>
              <w:tc>
                <w:tcPr>
                  <w:tcW w:w="257"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default" w:ascii="Times New Roman" w:hAnsi="Times New Roman" w:cs="Times New Roman"/>
                      <w:color w:val="0000FF"/>
                      <w:sz w:val="18"/>
                      <w:szCs w:val="18"/>
                      <w:lang w:val="en-US" w:eastAsia="zh-CN"/>
                    </w:rPr>
                    <w:t>NH</w:t>
                  </w:r>
                  <w:r>
                    <w:rPr>
                      <w:rFonts w:hint="default" w:ascii="Times New Roman" w:hAnsi="Times New Roman" w:cs="Times New Roman"/>
                      <w:color w:val="0000FF"/>
                      <w:sz w:val="18"/>
                      <w:szCs w:val="18"/>
                      <w:vertAlign w:val="subscript"/>
                      <w:lang w:val="en-US" w:eastAsia="zh-CN"/>
                    </w:rPr>
                    <w:t>3</w:t>
                  </w:r>
                  <w:r>
                    <w:rPr>
                      <w:rFonts w:hint="default" w:ascii="Times New Roman" w:hAnsi="Times New Roman" w:cs="Times New Roman"/>
                      <w:color w:val="0000FF"/>
                      <w:sz w:val="18"/>
                      <w:szCs w:val="18"/>
                      <w:lang w:val="en-US" w:eastAsia="zh-CN"/>
                    </w:rPr>
                    <w:t>-N</w:t>
                  </w:r>
                </w:p>
              </w:tc>
              <w:tc>
                <w:tcPr>
                  <w:tcW w:w="50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50</w:t>
                  </w:r>
                </w:p>
              </w:tc>
              <w:tc>
                <w:tcPr>
                  <w:tcW w:w="51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0.074</w:t>
                  </w:r>
                </w:p>
              </w:tc>
              <w:tc>
                <w:tcPr>
                  <w:tcW w:w="106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75</w:t>
                  </w:r>
                </w:p>
              </w:tc>
              <w:tc>
                <w:tcPr>
                  <w:tcW w:w="491"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5</w:t>
                  </w:r>
                </w:p>
              </w:tc>
              <w:tc>
                <w:tcPr>
                  <w:tcW w:w="727" w:type="dxa"/>
                  <w:vAlign w:val="center"/>
                </w:tcPr>
                <w:p>
                  <w:pPr>
                    <w:keepNext w:val="0"/>
                    <w:keepLines w:val="0"/>
                    <w:widowControl/>
                    <w:suppressLineNumbers w:val="0"/>
                    <w:jc w:val="both"/>
                    <w:textAlignment w:val="center"/>
                    <w:rPr>
                      <w:rFonts w:hint="default" w:cs="Times New Roman"/>
                      <w:color w:val="0000FF"/>
                      <w:sz w:val="18"/>
                      <w:szCs w:val="18"/>
                      <w:lang w:val="en-US" w:eastAsia="zh-CN"/>
                    </w:rPr>
                  </w:pPr>
                  <w:r>
                    <w:rPr>
                      <w:rFonts w:hint="eastAsia" w:cs="Times New Roman"/>
                      <w:color w:val="0000FF"/>
                      <w:sz w:val="18"/>
                      <w:szCs w:val="18"/>
                      <w:lang w:val="en-US" w:eastAsia="zh-CN"/>
                    </w:rPr>
                    <w:t>0.007</w:t>
                  </w:r>
                </w:p>
              </w:tc>
              <w:tc>
                <w:tcPr>
                  <w:tcW w:w="257"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452" w:type="dxa"/>
                  <w:vMerge w:val="continue"/>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452" w:type="dxa"/>
                  <w:vMerge w:val="continue"/>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c>
                <w:tcPr>
                  <w:tcW w:w="560" w:type="dxa"/>
                  <w:vMerge w:val="continue"/>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18"/>
                      <w:szCs w:val="18"/>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宋体" w:cs="Times New Roman"/>
                      <w:color w:val="0000FF"/>
                      <w:kern w:val="2"/>
                      <w:sz w:val="18"/>
                      <w:szCs w:val="18"/>
                      <w:highlight w:val="none"/>
                      <w:lang w:val="en-US" w:eastAsia="zh-CN" w:bidi="ar-SA"/>
                    </w:rPr>
                  </w:pPr>
                  <w:r>
                    <w:rPr>
                      <w:rFonts w:hint="eastAsia" w:cs="Times New Roman"/>
                      <w:color w:val="0000FF"/>
                      <w:sz w:val="18"/>
                      <w:szCs w:val="18"/>
                      <w:lang w:val="en-US" w:eastAsia="zh-CN"/>
                    </w:rPr>
                    <w:t>动植物油</w:t>
                  </w:r>
                </w:p>
              </w:tc>
              <w:tc>
                <w:tcPr>
                  <w:tcW w:w="504"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529"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0000FF"/>
                      <w:sz w:val="18"/>
                      <w:szCs w:val="18"/>
                      <w:lang w:val="en-US" w:eastAsia="zh-CN"/>
                    </w:rPr>
                  </w:pPr>
                </w:p>
              </w:tc>
              <w:tc>
                <w:tcPr>
                  <w:tcW w:w="5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27</w:t>
                  </w:r>
                </w:p>
              </w:tc>
              <w:tc>
                <w:tcPr>
                  <w:tcW w:w="51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r>
                    <w:rPr>
                      <w:rFonts w:hint="eastAsia" w:cs="Times New Roman"/>
                      <w:color w:val="0000FF"/>
                      <w:sz w:val="18"/>
                      <w:szCs w:val="18"/>
                      <w:lang w:val="en-US" w:eastAsia="zh-CN"/>
                    </w:rPr>
                    <w:t>0.041</w:t>
                  </w:r>
                </w:p>
              </w:tc>
              <w:tc>
                <w:tcPr>
                  <w:tcW w:w="1064" w:type="dxa"/>
                  <w:vMerge w:val="continue"/>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p>
              </w:tc>
              <w:tc>
                <w:tcPr>
                  <w:tcW w:w="0" w:type="auto"/>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95</w:t>
                  </w:r>
                </w:p>
              </w:tc>
              <w:tc>
                <w:tcPr>
                  <w:tcW w:w="491" w:type="dxa"/>
                  <w:vMerge w:val="continue"/>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highlight w:val="none"/>
                      <w:lang w:val="en-US" w:eastAsia="zh-CN"/>
                    </w:rPr>
                  </w:pPr>
                </w:p>
              </w:tc>
              <w:tc>
                <w:tcPr>
                  <w:tcW w:w="603"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0000FF"/>
                      <w:sz w:val="18"/>
                      <w:szCs w:val="18"/>
                      <w:lang w:val="en-US" w:eastAsia="zh-CN"/>
                    </w:rPr>
                  </w:pPr>
                </w:p>
              </w:tc>
              <w:tc>
                <w:tcPr>
                  <w:tcW w:w="501" w:type="dxa"/>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cs="Times New Roman"/>
                      <w:color w:val="0000FF"/>
                      <w:sz w:val="18"/>
                      <w:szCs w:val="18"/>
                      <w:lang w:val="en-US" w:eastAsia="zh-CN"/>
                    </w:rPr>
                  </w:pPr>
                  <w:r>
                    <w:rPr>
                      <w:rFonts w:hint="eastAsia" w:cs="Times New Roman"/>
                      <w:color w:val="0000FF"/>
                      <w:sz w:val="18"/>
                      <w:szCs w:val="18"/>
                      <w:lang w:val="en-US" w:eastAsia="zh-CN"/>
                    </w:rPr>
                    <w:t>1</w:t>
                  </w:r>
                </w:p>
              </w:tc>
              <w:tc>
                <w:tcPr>
                  <w:tcW w:w="727" w:type="dxa"/>
                  <w:vAlign w:val="center"/>
                </w:tcPr>
                <w:p>
                  <w:pPr>
                    <w:keepNext w:val="0"/>
                    <w:keepLines w:val="0"/>
                    <w:widowControl/>
                    <w:suppressLineNumbers w:val="0"/>
                    <w:jc w:val="both"/>
                    <w:textAlignment w:val="center"/>
                    <w:rPr>
                      <w:rFonts w:hint="default" w:cs="Times New Roman"/>
                      <w:color w:val="0000FF"/>
                      <w:sz w:val="18"/>
                      <w:szCs w:val="18"/>
                      <w:lang w:val="en-US" w:eastAsia="zh-CN"/>
                    </w:rPr>
                  </w:pPr>
                  <w:r>
                    <w:rPr>
                      <w:rFonts w:hint="eastAsia" w:cs="Times New Roman"/>
                      <w:color w:val="0000FF"/>
                      <w:sz w:val="18"/>
                      <w:szCs w:val="18"/>
                      <w:lang w:val="en-US" w:eastAsia="zh-CN"/>
                    </w:rPr>
                    <w:t>0.001</w:t>
                  </w:r>
                </w:p>
              </w:tc>
              <w:tc>
                <w:tcPr>
                  <w:tcW w:w="257" w:type="dxa"/>
                  <w:vMerge w:val="continue"/>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eastAsia" w:cs="Times New Roman"/>
                      <w:color w:val="auto"/>
                      <w:sz w:val="18"/>
                      <w:szCs w:val="18"/>
                      <w:lang w:val="en-US" w:eastAsia="zh-CN"/>
                    </w:rPr>
                  </w:pPr>
                </w:p>
              </w:tc>
            </w:tr>
          </w:tbl>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2.2废水治理措施及可行性分析</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项目产生的废水主要为地面清洁废水及</w:t>
            </w:r>
            <w:r>
              <w:rPr>
                <w:rFonts w:hint="default" w:ascii="Times New Roman" w:hAnsi="Times New Roman" w:cs="Times New Roman"/>
                <w:color w:val="auto"/>
                <w:kern w:val="0"/>
                <w:szCs w:val="21"/>
                <w:highlight w:val="none"/>
                <w:lang w:val="en-US" w:eastAsia="zh-CN"/>
              </w:rPr>
              <w:t>生活污水（含食堂废水）</w:t>
            </w:r>
            <w:r>
              <w:rPr>
                <w:rFonts w:hint="default" w:ascii="Times New Roman" w:hAnsi="Times New Roman" w:eastAsia="宋体" w:cs="Times New Roman"/>
                <w:color w:val="auto"/>
                <w:kern w:val="0"/>
                <w:szCs w:val="21"/>
                <w:highlight w:val="none"/>
                <w:lang w:val="en-US" w:eastAsia="zh-CN"/>
              </w:rPr>
              <w:t>，废水经收集后排入</w:t>
            </w:r>
            <w:r>
              <w:rPr>
                <w:rFonts w:hint="eastAsia" w:cs="Times New Roman"/>
                <w:color w:val="auto"/>
                <w:kern w:val="0"/>
                <w:szCs w:val="21"/>
                <w:highlight w:val="none"/>
                <w:lang w:val="en-US" w:eastAsia="zh-CN"/>
              </w:rPr>
              <w:t>隔油池及</w:t>
            </w:r>
            <w:r>
              <w:rPr>
                <w:rFonts w:hint="default" w:ascii="Times New Roman" w:hAnsi="Times New Roman" w:cs="Times New Roman"/>
                <w:color w:val="auto"/>
                <w:kern w:val="0"/>
                <w:szCs w:val="21"/>
                <w:highlight w:val="none"/>
                <w:lang w:val="en-US" w:eastAsia="zh-CN"/>
              </w:rPr>
              <w:t>已建</w:t>
            </w:r>
            <w:r>
              <w:rPr>
                <w:rFonts w:hint="default" w:ascii="Times New Roman" w:hAnsi="Times New Roman" w:eastAsia="宋体" w:cs="Times New Roman"/>
                <w:color w:val="auto"/>
                <w:kern w:val="0"/>
                <w:szCs w:val="21"/>
                <w:highlight w:val="none"/>
                <w:lang w:val="en-US" w:eastAsia="zh-CN"/>
              </w:rPr>
              <w:t>生化池进行处理后，最终经市政污水管网排入</w:t>
            </w:r>
            <w:r>
              <w:rPr>
                <w:rFonts w:hint="default" w:ascii="Times New Roman" w:hAnsi="Times New Roman" w:cs="Times New Roman"/>
                <w:color w:val="auto"/>
                <w:kern w:val="0"/>
                <w:szCs w:val="21"/>
                <w:highlight w:val="none"/>
                <w:lang w:val="en-US" w:eastAsia="zh-CN"/>
              </w:rPr>
              <w:t>双桥</w:t>
            </w:r>
            <w:r>
              <w:rPr>
                <w:rFonts w:hint="default" w:ascii="Times New Roman" w:hAnsi="Times New Roman" w:eastAsia="宋体" w:cs="Times New Roman"/>
                <w:color w:val="auto"/>
                <w:kern w:val="0"/>
                <w:szCs w:val="21"/>
                <w:highlight w:val="none"/>
                <w:lang w:val="en-US" w:eastAsia="zh-CN"/>
              </w:rPr>
              <w:t>污水处理厂进一步处理达《城镇污水处理厂污染物排放标准》（GB18918-2002）的一级A标准后排入</w:t>
            </w:r>
            <w:r>
              <w:rPr>
                <w:rFonts w:hint="default" w:ascii="Times New Roman" w:hAnsi="Times New Roman" w:cs="Times New Roman"/>
                <w:color w:val="auto"/>
                <w:kern w:val="0"/>
                <w:szCs w:val="21"/>
                <w:highlight w:val="none"/>
                <w:lang w:val="en-US" w:eastAsia="zh-CN"/>
              </w:rPr>
              <w:t>太平河</w:t>
            </w:r>
            <w:r>
              <w:rPr>
                <w:rFonts w:hint="default" w:ascii="Times New Roman" w:hAnsi="Times New Roman" w:eastAsia="宋体" w:cs="Times New Roman"/>
                <w:color w:val="auto"/>
                <w:kern w:val="0"/>
                <w:szCs w:val="21"/>
                <w:highlight w:val="none"/>
                <w:lang w:val="en-US" w:eastAsia="zh-CN"/>
              </w:rPr>
              <w:t>。</w:t>
            </w:r>
          </w:p>
          <w:p>
            <w:pPr>
              <w:spacing w:line="360" w:lineRule="auto"/>
              <w:ind w:firstLine="420" w:firstLineChars="200"/>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highlight w:val="none"/>
                <w:lang w:val="en-US" w:eastAsia="zh-CN"/>
              </w:rPr>
              <w:t>租赁厂房</w:t>
            </w:r>
            <w:r>
              <w:rPr>
                <w:rFonts w:hint="default" w:ascii="Times New Roman" w:hAnsi="Times New Roman" w:eastAsia="宋体" w:cs="Times New Roman"/>
                <w:color w:val="auto"/>
                <w:kern w:val="0"/>
                <w:szCs w:val="21"/>
                <w:highlight w:val="none"/>
                <w:lang w:val="en-US" w:eastAsia="zh-CN"/>
              </w:rPr>
              <w:t>已敷设好排污管道，可将已建厂房产生的废水收集后排放至生化池，同时，生化池处理后废水经园区市政管网进入</w:t>
            </w:r>
            <w:r>
              <w:rPr>
                <w:rFonts w:hint="default" w:ascii="Times New Roman" w:hAnsi="Times New Roman" w:cs="Times New Roman"/>
                <w:color w:val="auto"/>
                <w:kern w:val="0"/>
                <w:szCs w:val="21"/>
                <w:highlight w:val="none"/>
                <w:lang w:val="en-US" w:eastAsia="zh-CN"/>
              </w:rPr>
              <w:t>双桥</w:t>
            </w:r>
            <w:r>
              <w:rPr>
                <w:rFonts w:hint="default" w:ascii="Times New Roman" w:hAnsi="Times New Roman" w:eastAsia="宋体" w:cs="Times New Roman"/>
                <w:color w:val="auto"/>
                <w:kern w:val="0"/>
                <w:szCs w:val="21"/>
                <w:highlight w:val="none"/>
                <w:lang w:val="en-US" w:eastAsia="zh-CN"/>
              </w:rPr>
              <w:t>污水处理厂，</w:t>
            </w:r>
            <w:r>
              <w:rPr>
                <w:rFonts w:hint="default" w:ascii="Times New Roman" w:hAnsi="Times New Roman"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项目所在区域属于</w:t>
            </w:r>
            <w:r>
              <w:rPr>
                <w:rFonts w:hint="default" w:ascii="Times New Roman" w:hAnsi="Times New Roman" w:cs="Times New Roman"/>
                <w:color w:val="auto"/>
                <w:kern w:val="0"/>
                <w:szCs w:val="21"/>
                <w:highlight w:val="none"/>
                <w:lang w:val="en-US" w:eastAsia="zh-CN"/>
              </w:rPr>
              <w:t>双桥</w:t>
            </w:r>
            <w:r>
              <w:rPr>
                <w:rFonts w:hint="default" w:ascii="Times New Roman" w:hAnsi="Times New Roman" w:eastAsia="宋体" w:cs="Times New Roman"/>
                <w:color w:val="auto"/>
                <w:kern w:val="0"/>
                <w:szCs w:val="21"/>
                <w:highlight w:val="none"/>
                <w:lang w:val="en-US" w:eastAsia="zh-CN"/>
              </w:rPr>
              <w:t>污水处理厂接纳范围内。</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项目产生的废水总排放量为</w:t>
            </w:r>
            <w:r>
              <w:rPr>
                <w:rFonts w:hint="eastAsia" w:cs="Times New Roman"/>
                <w:color w:val="auto"/>
                <w:kern w:val="0"/>
                <w:szCs w:val="21"/>
                <w:highlight w:val="none"/>
                <w:lang w:val="en-US" w:eastAsia="zh-CN"/>
              </w:rPr>
              <w:t>2.25</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/d，主要污染物为COD、BOD</w:t>
            </w:r>
            <w:r>
              <w:rPr>
                <w:rFonts w:hint="default" w:ascii="Times New Roman" w:hAnsi="Times New Roman" w:eastAsia="宋体" w:cs="Times New Roman"/>
                <w:color w:val="auto"/>
                <w:kern w:val="0"/>
                <w:szCs w:val="21"/>
                <w:highlight w:val="none"/>
                <w:vertAlign w:val="subscript"/>
                <w:lang w:val="en-US" w:eastAsia="zh-CN"/>
              </w:rPr>
              <w:t>5</w:t>
            </w:r>
            <w:r>
              <w:rPr>
                <w:rFonts w:hint="default" w:ascii="Times New Roman" w:hAnsi="Times New Roman" w:eastAsia="宋体" w:cs="Times New Roman"/>
                <w:color w:val="auto"/>
                <w:kern w:val="0"/>
                <w:szCs w:val="21"/>
                <w:highlight w:val="none"/>
                <w:lang w:val="en-US" w:eastAsia="zh-CN"/>
              </w:rPr>
              <w:t>、SS、NH</w:t>
            </w:r>
            <w:r>
              <w:rPr>
                <w:rFonts w:hint="default" w:ascii="Times New Roman" w:hAnsi="Times New Roman" w:eastAsia="宋体" w:cs="Times New Roman"/>
                <w:color w:val="auto"/>
                <w:kern w:val="0"/>
                <w:szCs w:val="21"/>
                <w:highlight w:val="none"/>
                <w:vertAlign w:val="subscript"/>
                <w:lang w:val="en-US" w:eastAsia="zh-CN"/>
              </w:rPr>
              <w:t>3</w:t>
            </w:r>
            <w:r>
              <w:rPr>
                <w:rFonts w:hint="default" w:ascii="Times New Roman" w:hAnsi="Times New Roman" w:eastAsia="宋体" w:cs="Times New Roman"/>
                <w:color w:val="auto"/>
                <w:kern w:val="0"/>
                <w:szCs w:val="21"/>
                <w:highlight w:val="none"/>
                <w:lang w:val="en-US" w:eastAsia="zh-CN"/>
              </w:rPr>
              <w:t>-N</w:t>
            </w:r>
            <w:r>
              <w:rPr>
                <w:rFonts w:hint="default" w:ascii="Times New Roman" w:hAnsi="Times New Roman" w:cs="Times New Roman"/>
                <w:color w:val="auto"/>
                <w:kern w:val="0"/>
                <w:szCs w:val="21"/>
                <w:highlight w:val="none"/>
                <w:lang w:val="en-US" w:eastAsia="zh-CN"/>
              </w:rPr>
              <w:t>及动植物油</w:t>
            </w:r>
            <w:r>
              <w:rPr>
                <w:rFonts w:hint="default" w:ascii="Times New Roman" w:hAnsi="Times New Roman" w:eastAsia="宋体" w:cs="Times New Roman"/>
                <w:color w:val="auto"/>
                <w:kern w:val="0"/>
                <w:szCs w:val="21"/>
                <w:highlight w:val="none"/>
                <w:lang w:val="en-US" w:eastAsia="zh-CN"/>
              </w:rPr>
              <w:t>，</w:t>
            </w:r>
            <w:r>
              <w:rPr>
                <w:rFonts w:hint="eastAsia" w:cs="Times New Roman"/>
                <w:color w:val="auto"/>
                <w:kern w:val="0"/>
                <w:szCs w:val="21"/>
                <w:highlight w:val="none"/>
                <w:lang w:val="en-US" w:eastAsia="zh-CN"/>
              </w:rPr>
              <w:t>食堂废水先经隔油池隔油后，与其他废水一并</w:t>
            </w:r>
            <w:r>
              <w:rPr>
                <w:rFonts w:hint="default" w:ascii="Times New Roman" w:hAnsi="Times New Roman" w:eastAsia="宋体" w:cs="Times New Roman"/>
                <w:color w:val="auto"/>
                <w:kern w:val="0"/>
                <w:szCs w:val="21"/>
                <w:highlight w:val="none"/>
                <w:lang w:val="en-US" w:eastAsia="zh-CN"/>
              </w:rPr>
              <w:t>进入生化池进行处理后排放，该生化池设计处理能力为</w:t>
            </w:r>
            <w:r>
              <w:rPr>
                <w:rFonts w:hint="eastAsia" w:cs="Times New Roman"/>
                <w:color w:val="auto"/>
                <w:kern w:val="0"/>
                <w:szCs w:val="21"/>
                <w:highlight w:val="none"/>
                <w:lang w:val="en-US" w:eastAsia="zh-CN"/>
              </w:rPr>
              <w:t>5</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/d，在设计、建设过程中，已考虑</w:t>
            </w:r>
            <w:r>
              <w:rPr>
                <w:rFonts w:hint="default" w:ascii="Times New Roman" w:hAnsi="Times New Roman"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项目入驻后产生的废水量，</w:t>
            </w:r>
            <w:r>
              <w:rPr>
                <w:rFonts w:hint="eastAsia" w:cs="Times New Roman"/>
                <w:color w:val="0000FF"/>
                <w:kern w:val="0"/>
                <w:szCs w:val="21"/>
                <w:highlight w:val="none"/>
                <w:lang w:val="en-US" w:eastAsia="zh-CN"/>
              </w:rPr>
              <w:t>该生化池实际处理能力为1.5</w:t>
            </w:r>
            <w:r>
              <w:rPr>
                <w:rFonts w:hint="default" w:ascii="Times New Roman" w:hAnsi="Times New Roman" w:eastAsia="宋体" w:cs="Times New Roman"/>
                <w:color w:val="0000FF"/>
                <w:kern w:val="0"/>
                <w:szCs w:val="21"/>
                <w:highlight w:val="none"/>
                <w:lang w:val="en-US" w:eastAsia="zh-CN"/>
              </w:rPr>
              <w:t>m</w:t>
            </w:r>
            <w:r>
              <w:rPr>
                <w:rFonts w:hint="default" w:ascii="Times New Roman" w:hAnsi="Times New Roman" w:eastAsia="宋体" w:cs="Times New Roman"/>
                <w:color w:val="0000FF"/>
                <w:kern w:val="0"/>
                <w:szCs w:val="21"/>
                <w:highlight w:val="none"/>
                <w:vertAlign w:val="superscript"/>
                <w:lang w:val="en-US" w:eastAsia="zh-CN"/>
              </w:rPr>
              <w:t>3</w:t>
            </w:r>
            <w:r>
              <w:rPr>
                <w:rFonts w:hint="default" w:ascii="Times New Roman" w:hAnsi="Times New Roman" w:eastAsia="宋体" w:cs="Times New Roman"/>
                <w:color w:val="0000FF"/>
                <w:kern w:val="0"/>
                <w:szCs w:val="21"/>
                <w:highlight w:val="none"/>
                <w:lang w:val="en-US" w:eastAsia="zh-CN"/>
              </w:rPr>
              <w:t>/d</w:t>
            </w:r>
            <w:r>
              <w:rPr>
                <w:rFonts w:hint="eastAsia" w:ascii="Times New Roman" w:hAnsi="Times New Roman" w:cs="Times New Roman"/>
                <w:color w:val="0000FF"/>
                <w:kern w:val="0"/>
                <w:szCs w:val="21"/>
                <w:highlight w:val="none"/>
                <w:lang w:val="en-US" w:eastAsia="zh-CN"/>
              </w:rPr>
              <w:t>，剩余处理能力为3.</w:t>
            </w:r>
            <w:r>
              <w:rPr>
                <w:rFonts w:hint="eastAsia" w:cs="Times New Roman"/>
                <w:color w:val="0000FF"/>
                <w:kern w:val="0"/>
                <w:szCs w:val="21"/>
                <w:highlight w:val="none"/>
                <w:lang w:val="en-US" w:eastAsia="zh-CN"/>
              </w:rPr>
              <w:t>5</w:t>
            </w:r>
            <w:r>
              <w:rPr>
                <w:rFonts w:hint="default" w:ascii="Times New Roman" w:hAnsi="Times New Roman" w:eastAsia="宋体" w:cs="Times New Roman"/>
                <w:color w:val="0000FF"/>
                <w:kern w:val="0"/>
                <w:szCs w:val="21"/>
                <w:highlight w:val="none"/>
                <w:lang w:val="en-US" w:eastAsia="zh-CN"/>
              </w:rPr>
              <w:t>m</w:t>
            </w:r>
            <w:r>
              <w:rPr>
                <w:rFonts w:hint="default" w:ascii="Times New Roman" w:hAnsi="Times New Roman" w:eastAsia="宋体" w:cs="Times New Roman"/>
                <w:color w:val="0000FF"/>
                <w:kern w:val="0"/>
                <w:szCs w:val="21"/>
                <w:highlight w:val="none"/>
                <w:vertAlign w:val="superscript"/>
                <w:lang w:val="en-US" w:eastAsia="zh-CN"/>
              </w:rPr>
              <w:t>3</w:t>
            </w:r>
            <w:r>
              <w:rPr>
                <w:rFonts w:hint="default" w:ascii="Times New Roman" w:hAnsi="Times New Roman" w:eastAsia="宋体" w:cs="Times New Roman"/>
                <w:color w:val="0000FF"/>
                <w:kern w:val="0"/>
                <w:szCs w:val="21"/>
                <w:highlight w:val="none"/>
                <w:lang w:val="en-US" w:eastAsia="zh-CN"/>
              </w:rPr>
              <w:t>/d</w:t>
            </w:r>
            <w:r>
              <w:rPr>
                <w:rFonts w:hint="eastAsia" w:cs="Times New Roman"/>
                <w:color w:val="0000FF"/>
                <w:kern w:val="0"/>
                <w:szCs w:val="21"/>
                <w:highlight w:val="none"/>
                <w:lang w:val="en-US" w:eastAsia="zh-CN"/>
              </w:rPr>
              <w:t>，</w:t>
            </w:r>
            <w:r>
              <w:rPr>
                <w:rFonts w:hint="default" w:ascii="Times New Roman" w:hAnsi="Times New Roman" w:eastAsia="宋体" w:cs="Times New Roman"/>
                <w:color w:val="auto"/>
                <w:kern w:val="0"/>
                <w:szCs w:val="21"/>
                <w:highlight w:val="none"/>
                <w:lang w:val="en-US" w:eastAsia="zh-CN"/>
              </w:rPr>
              <w:t>采用“调节池—水解酸化”处理工艺，能有效去除COD、BOD</w:t>
            </w:r>
            <w:r>
              <w:rPr>
                <w:rFonts w:hint="default" w:ascii="Times New Roman" w:hAnsi="Times New Roman" w:eastAsia="宋体" w:cs="Times New Roman"/>
                <w:color w:val="auto"/>
                <w:kern w:val="0"/>
                <w:szCs w:val="21"/>
                <w:highlight w:val="none"/>
                <w:vertAlign w:val="subscript"/>
                <w:lang w:val="en-US" w:eastAsia="zh-CN"/>
              </w:rPr>
              <w:t>5</w:t>
            </w:r>
            <w:r>
              <w:rPr>
                <w:rFonts w:hint="default" w:ascii="Times New Roman" w:hAnsi="Times New Roman" w:eastAsia="宋体" w:cs="Times New Roman"/>
                <w:color w:val="auto"/>
                <w:kern w:val="0"/>
                <w:szCs w:val="21"/>
                <w:highlight w:val="none"/>
                <w:lang w:val="en-US" w:eastAsia="zh-CN"/>
              </w:rPr>
              <w:t>、SS、NH</w:t>
            </w:r>
            <w:r>
              <w:rPr>
                <w:rFonts w:hint="default" w:ascii="Times New Roman" w:hAnsi="Times New Roman" w:eastAsia="宋体" w:cs="Times New Roman"/>
                <w:color w:val="auto"/>
                <w:kern w:val="0"/>
                <w:szCs w:val="21"/>
                <w:highlight w:val="none"/>
                <w:vertAlign w:val="subscript"/>
                <w:lang w:val="en-US" w:eastAsia="zh-CN"/>
              </w:rPr>
              <w:t>3</w:t>
            </w:r>
            <w:r>
              <w:rPr>
                <w:rFonts w:hint="default" w:ascii="Times New Roman" w:hAnsi="Times New Roman" w:eastAsia="宋体" w:cs="Times New Roman"/>
                <w:color w:val="auto"/>
                <w:kern w:val="0"/>
                <w:szCs w:val="21"/>
                <w:highlight w:val="none"/>
                <w:lang w:val="en-US" w:eastAsia="zh-CN"/>
              </w:rPr>
              <w:t>-N。</w:t>
            </w:r>
            <w:r>
              <w:rPr>
                <w:rFonts w:hint="default" w:ascii="Times New Roman" w:hAnsi="Times New Roman" w:cs="Times New Roman"/>
                <w:color w:val="auto"/>
                <w:kern w:val="0"/>
                <w:szCs w:val="21"/>
                <w:highlight w:val="none"/>
                <w:lang w:val="en-US" w:eastAsia="zh-CN"/>
              </w:rPr>
              <w:t>同时，生化池前端设有隔油池，能有效去除动植物油。</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依托</w:t>
            </w:r>
            <w:r>
              <w:rPr>
                <w:rFonts w:hint="default" w:ascii="Times New Roman" w:hAnsi="Times New Roman" w:cs="Times New Roman"/>
                <w:color w:val="auto"/>
                <w:kern w:val="0"/>
                <w:szCs w:val="21"/>
                <w:highlight w:val="none"/>
                <w:lang w:val="en-US" w:eastAsia="zh-CN"/>
              </w:rPr>
              <w:t>双桥</w:t>
            </w:r>
            <w:r>
              <w:rPr>
                <w:rFonts w:hint="default" w:ascii="Times New Roman" w:hAnsi="Times New Roman" w:eastAsia="宋体" w:cs="Times New Roman"/>
                <w:color w:val="auto"/>
                <w:kern w:val="0"/>
                <w:szCs w:val="21"/>
                <w:highlight w:val="none"/>
                <w:lang w:val="en-US" w:eastAsia="zh-CN"/>
              </w:rPr>
              <w:t>污水处理厂的可行性进行分析：</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经调查</w:t>
            </w:r>
            <w:r>
              <w:rPr>
                <w:rFonts w:hint="default" w:ascii="Times New Roman" w:hAnsi="Times New Roman" w:cs="Times New Roman"/>
                <w:color w:val="auto"/>
                <w:kern w:val="0"/>
                <w:szCs w:val="21"/>
                <w:highlight w:val="none"/>
                <w:lang w:val="en-US" w:eastAsia="zh-CN"/>
              </w:rPr>
              <w:t>，</w:t>
            </w:r>
            <w:r>
              <w:rPr>
                <w:rFonts w:hint="default" w:ascii="Times New Roman" w:hAnsi="Times New Roman" w:eastAsia="宋体" w:cs="Times New Roman"/>
                <w:color w:val="auto"/>
                <w:kern w:val="0"/>
                <w:szCs w:val="21"/>
                <w:highlight w:val="none"/>
                <w:lang w:val="en-US" w:eastAsia="zh-CN"/>
              </w:rPr>
              <w:t>双桥污水处理厂位于双桥太平十社盐井桥，处理规模2.0万m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/d，采用奥贝尔氧化沟处理工艺，出水水质为《城镇污水处理厂污染物排放标准》（GB18918-2002）一级A标，服务范围包括整个双桥工业园区及周边的双路街道、通桥街道及龙滩子街道部分范围，</w:t>
            </w:r>
            <w:r>
              <w:rPr>
                <w:rFonts w:hint="default" w:ascii="Times New Roman" w:hAnsi="Times New Roman"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项目位于双桥工业园区，属于双桥污水处理厂服务范围，且厂区</w:t>
            </w:r>
            <w:r>
              <w:rPr>
                <w:rFonts w:hint="default" w:ascii="Times New Roman" w:hAnsi="Times New Roman" w:cs="Times New Roman"/>
                <w:color w:val="auto"/>
                <w:kern w:val="0"/>
                <w:szCs w:val="21"/>
                <w:highlight w:val="none"/>
                <w:lang w:val="en-US" w:eastAsia="zh-CN"/>
              </w:rPr>
              <w:t>西</w:t>
            </w:r>
            <w:r>
              <w:rPr>
                <w:rFonts w:hint="default" w:ascii="Times New Roman" w:hAnsi="Times New Roman" w:eastAsia="宋体" w:cs="Times New Roman"/>
                <w:color w:val="auto"/>
                <w:kern w:val="0"/>
                <w:szCs w:val="21"/>
                <w:highlight w:val="none"/>
                <w:lang w:val="en-US" w:eastAsia="zh-CN"/>
              </w:rPr>
              <w:t>侧市政污水管网已经建成，拟建项目废水能够进入</w:t>
            </w:r>
            <w:r>
              <w:rPr>
                <w:rFonts w:hint="eastAsia" w:ascii="Times New Roman" w:hAnsi="Times New Roman" w:eastAsia="宋体" w:cs="Times New Roman"/>
                <w:color w:val="auto"/>
                <w:kern w:val="0"/>
                <w:szCs w:val="21"/>
                <w:highlight w:val="none"/>
                <w:lang w:val="en-US" w:eastAsia="zh-CN"/>
              </w:rPr>
              <w:t>双桥污水处理厂处理</w:t>
            </w:r>
            <w:r>
              <w:rPr>
                <w:rFonts w:hint="default" w:ascii="Times New Roman" w:hAnsi="Times New Roman" w:eastAsia="宋体" w:cs="Times New Roman"/>
                <w:color w:val="auto"/>
                <w:kern w:val="0"/>
                <w:szCs w:val="21"/>
                <w:highlight w:val="none"/>
                <w:lang w:val="en-US" w:eastAsia="zh-CN"/>
              </w:rPr>
              <w:t>。</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项目投产后废水排放总量约</w:t>
            </w:r>
            <w:r>
              <w:rPr>
                <w:rFonts w:hint="eastAsia" w:ascii="Times New Roman" w:hAnsi="Times New Roman" w:eastAsia="宋体" w:cs="Times New Roman"/>
                <w:color w:val="auto"/>
                <w:kern w:val="0"/>
                <w:szCs w:val="21"/>
                <w:highlight w:val="none"/>
                <w:lang w:val="en-US" w:eastAsia="zh-CN"/>
              </w:rPr>
              <w:t>2.21</w:t>
            </w:r>
            <w:r>
              <w:rPr>
                <w:rFonts w:hint="default" w:ascii="Times New Roman" w:hAnsi="Times New Roman" w:eastAsia="宋体" w:cs="Times New Roman"/>
                <w:color w:val="auto"/>
                <w:kern w:val="0"/>
                <w:szCs w:val="21"/>
                <w:highlight w:val="none"/>
                <w:lang w:val="en-US" w:eastAsia="zh-CN"/>
              </w:rPr>
              <w:t>m3/d（</w:t>
            </w:r>
            <w:r>
              <w:rPr>
                <w:rFonts w:hint="eastAsia" w:ascii="Times New Roman" w:hAnsi="Times New Roman" w:eastAsia="宋体" w:cs="Times New Roman"/>
                <w:color w:val="auto"/>
                <w:kern w:val="0"/>
                <w:szCs w:val="21"/>
                <w:highlight w:val="none"/>
                <w:lang w:val="en-US" w:eastAsia="zh-CN"/>
              </w:rPr>
              <w:t>486.54</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3</w:t>
            </w:r>
            <w:r>
              <w:rPr>
                <w:rFonts w:hint="default" w:ascii="Times New Roman" w:hAnsi="Times New Roman" w:eastAsia="宋体" w:cs="Times New Roman"/>
                <w:color w:val="auto"/>
                <w:kern w:val="0"/>
                <w:szCs w:val="21"/>
                <w:highlight w:val="none"/>
                <w:lang w:val="en-US" w:eastAsia="zh-CN"/>
              </w:rPr>
              <w:t>/a），</w:t>
            </w:r>
            <w:r>
              <w:rPr>
                <w:rFonts w:hint="eastAsia" w:ascii="Times New Roman" w:hAnsi="Times New Roman" w:eastAsia="宋体" w:cs="Times New Roman"/>
                <w:color w:val="0000FF"/>
                <w:kern w:val="0"/>
                <w:szCs w:val="21"/>
                <w:highlight w:val="none"/>
                <w:lang w:val="en-US" w:eastAsia="zh-CN"/>
              </w:rPr>
              <w:t>仅占</w:t>
            </w:r>
            <w:r>
              <w:rPr>
                <w:rFonts w:hint="default" w:ascii="Times New Roman" w:hAnsi="Times New Roman" w:eastAsia="宋体" w:cs="Times New Roman"/>
                <w:color w:val="0000FF"/>
                <w:kern w:val="0"/>
                <w:szCs w:val="21"/>
                <w:highlight w:val="none"/>
                <w:lang w:val="en-US" w:eastAsia="zh-CN"/>
              </w:rPr>
              <w:t>双桥污水处理厂</w:t>
            </w:r>
            <w:r>
              <w:rPr>
                <w:rFonts w:hint="eastAsia" w:ascii="Times New Roman" w:hAnsi="Times New Roman" w:eastAsia="宋体" w:cs="Times New Roman"/>
                <w:color w:val="0000FF"/>
                <w:kern w:val="0"/>
                <w:szCs w:val="21"/>
                <w:highlight w:val="none"/>
                <w:lang w:val="en-US" w:eastAsia="zh-CN"/>
              </w:rPr>
              <w:t>设计处理规模的万分之一，</w:t>
            </w:r>
            <w:r>
              <w:rPr>
                <w:rFonts w:hint="default" w:ascii="Times New Roman" w:hAnsi="Times New Roman" w:eastAsia="宋体" w:cs="Times New Roman"/>
                <w:color w:val="auto"/>
                <w:kern w:val="0"/>
                <w:szCs w:val="21"/>
                <w:highlight w:val="none"/>
                <w:lang w:val="en-US" w:eastAsia="zh-CN"/>
              </w:rPr>
              <w:t>主要以有机污染物为主，水质成分较简单，污染物浓度低， 经厂区</w:t>
            </w:r>
            <w:r>
              <w:rPr>
                <w:rFonts w:hint="default" w:ascii="Times New Roman" w:hAnsi="Times New Roman" w:cs="Times New Roman"/>
                <w:color w:val="auto"/>
                <w:kern w:val="0"/>
                <w:szCs w:val="21"/>
                <w:highlight w:val="none"/>
                <w:lang w:val="en-US" w:eastAsia="zh-CN"/>
              </w:rPr>
              <w:t>隔油池及生化池</w:t>
            </w:r>
            <w:r>
              <w:rPr>
                <w:rFonts w:hint="default" w:ascii="Times New Roman" w:hAnsi="Times New Roman" w:eastAsia="宋体" w:cs="Times New Roman"/>
                <w:color w:val="auto"/>
                <w:kern w:val="0"/>
                <w:szCs w:val="21"/>
                <w:highlight w:val="none"/>
                <w:lang w:val="en-US" w:eastAsia="zh-CN"/>
              </w:rPr>
              <w:t>处理后出水水质满足双桥污水处理厂的进水水质要求，可以进入污水处理厂进行处理，污水处理后可以满足排放标准要求。因此，</w:t>
            </w:r>
            <w:r>
              <w:rPr>
                <w:rFonts w:hint="default" w:ascii="Times New Roman" w:hAnsi="Times New Roman" w:cs="Times New Roman"/>
                <w:color w:val="auto"/>
                <w:kern w:val="0"/>
                <w:szCs w:val="21"/>
                <w:highlight w:val="none"/>
                <w:lang w:val="en-US" w:eastAsia="zh-CN"/>
              </w:rPr>
              <w:t>在</w:t>
            </w:r>
            <w:r>
              <w:rPr>
                <w:rFonts w:hint="default" w:ascii="Times New Roman" w:hAnsi="Times New Roman" w:eastAsia="宋体" w:cs="Times New Roman"/>
                <w:color w:val="auto"/>
                <w:kern w:val="0"/>
                <w:szCs w:val="21"/>
                <w:highlight w:val="none"/>
                <w:lang w:val="en-US" w:eastAsia="zh-CN"/>
              </w:rPr>
              <w:t>处理能力、水质及处理效果方面上，</w:t>
            </w:r>
            <w:r>
              <w:rPr>
                <w:rFonts w:hint="default" w:ascii="Times New Roman" w:hAnsi="Times New Roman"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项目污水</w:t>
            </w:r>
            <w:r>
              <w:rPr>
                <w:rFonts w:hint="default" w:ascii="Times New Roman" w:hAnsi="Times New Roman" w:cs="Times New Roman"/>
                <w:color w:val="auto"/>
                <w:kern w:val="0"/>
                <w:szCs w:val="21"/>
                <w:highlight w:val="none"/>
                <w:lang w:val="en-US" w:eastAsia="zh-CN"/>
              </w:rPr>
              <w:t>依托</w:t>
            </w:r>
            <w:r>
              <w:rPr>
                <w:rFonts w:hint="default" w:ascii="Times New Roman" w:hAnsi="Times New Roman" w:eastAsia="宋体" w:cs="Times New Roman"/>
                <w:color w:val="auto"/>
                <w:kern w:val="0"/>
                <w:szCs w:val="21"/>
                <w:highlight w:val="none"/>
                <w:lang w:val="en-US" w:eastAsia="zh-CN"/>
              </w:rPr>
              <w:t>可行</w:t>
            </w:r>
            <w:r>
              <w:rPr>
                <w:rFonts w:hint="default" w:ascii="Times New Roman" w:hAnsi="Times New Roman" w:cs="Times New Roman"/>
                <w:color w:val="auto"/>
                <w:kern w:val="0"/>
                <w:szCs w:val="21"/>
                <w:highlight w:val="none"/>
                <w:lang w:val="en-US" w:eastAsia="zh-CN"/>
              </w:rPr>
              <w:t>。</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因此</w:t>
            </w:r>
            <w:r>
              <w:rPr>
                <w:rFonts w:hint="eastAsia"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项目产生废水污染防治措施可行。</w:t>
            </w:r>
          </w:p>
          <w:p>
            <w:pPr>
              <w:spacing w:line="360" w:lineRule="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2.3地表水环境影响分析</w:t>
            </w:r>
          </w:p>
          <w:p>
            <w:pPr>
              <w:spacing w:line="360" w:lineRule="auto"/>
              <w:ind w:firstLine="420" w:firstLineChars="20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val="en-US" w:eastAsia="zh-CN" w:bidi="ar-SA"/>
              </w:rPr>
              <w:t>拟建</w:t>
            </w:r>
            <w:r>
              <w:rPr>
                <w:rFonts w:hint="default" w:ascii="Times New Roman" w:hAnsi="Times New Roman" w:eastAsia="宋体" w:cs="Times New Roman"/>
                <w:color w:val="auto"/>
                <w:kern w:val="0"/>
                <w:sz w:val="21"/>
                <w:szCs w:val="21"/>
                <w:highlight w:val="none"/>
                <w:lang w:val="en-US" w:eastAsia="zh-CN" w:bidi="ar-SA"/>
              </w:rPr>
              <w:t>项目废水排放量较小且水质简单，经生化池及污水处理厂处理后可实现达标排放，综上，</w:t>
            </w:r>
            <w:r>
              <w:rPr>
                <w:rFonts w:hint="default" w:ascii="Times New Roman" w:hAnsi="Times New Roman" w:cs="Times New Roman"/>
                <w:color w:val="auto"/>
                <w:kern w:val="0"/>
                <w:sz w:val="21"/>
                <w:szCs w:val="21"/>
                <w:highlight w:val="none"/>
                <w:lang w:val="en-US" w:eastAsia="zh-CN" w:bidi="ar-SA"/>
              </w:rPr>
              <w:t>拟建</w:t>
            </w:r>
            <w:r>
              <w:rPr>
                <w:rFonts w:hint="default" w:ascii="Times New Roman" w:hAnsi="Times New Roman" w:eastAsia="宋体" w:cs="Times New Roman"/>
                <w:color w:val="auto"/>
                <w:kern w:val="0"/>
                <w:sz w:val="21"/>
                <w:szCs w:val="21"/>
                <w:highlight w:val="none"/>
                <w:lang w:val="en-US" w:eastAsia="zh-CN" w:bidi="ar-SA"/>
              </w:rPr>
              <w:t>项目对地表水的影响计入</w:t>
            </w:r>
            <w:r>
              <w:rPr>
                <w:rFonts w:hint="default" w:ascii="Times New Roman" w:hAnsi="Times New Roman" w:cs="Times New Roman"/>
                <w:color w:val="auto"/>
                <w:kern w:val="0"/>
                <w:sz w:val="21"/>
                <w:szCs w:val="21"/>
                <w:highlight w:val="none"/>
                <w:lang w:val="en-US" w:eastAsia="zh-CN" w:bidi="ar-SA"/>
              </w:rPr>
              <w:t>双桥</w:t>
            </w:r>
            <w:r>
              <w:rPr>
                <w:rFonts w:hint="default" w:ascii="Times New Roman" w:hAnsi="Times New Roman" w:eastAsia="宋体" w:cs="Times New Roman"/>
                <w:color w:val="auto"/>
                <w:kern w:val="0"/>
                <w:sz w:val="21"/>
                <w:szCs w:val="21"/>
                <w:highlight w:val="none"/>
                <w:lang w:val="en-US" w:eastAsia="zh-CN" w:bidi="ar-SA"/>
              </w:rPr>
              <w:t>污水处理厂的影响之中。</w:t>
            </w:r>
          </w:p>
          <w:p>
            <w:pPr>
              <w:spacing w:line="360" w:lineRule="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2.4排污口设置及监测要求</w:t>
            </w:r>
          </w:p>
          <w:p>
            <w:pPr>
              <w:spacing w:line="360" w:lineRule="auto"/>
              <w:ind w:firstLine="420" w:firstLineChars="200"/>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拟建</w:t>
            </w:r>
            <w:r>
              <w:rPr>
                <w:rFonts w:hint="default" w:ascii="Times New Roman" w:hAnsi="Times New Roman" w:eastAsia="宋体" w:cs="Times New Roman"/>
                <w:color w:val="auto"/>
                <w:kern w:val="2"/>
                <w:sz w:val="21"/>
                <w:szCs w:val="21"/>
                <w:highlight w:val="none"/>
                <w:lang w:val="en-US" w:eastAsia="zh-CN" w:bidi="ar-SA"/>
              </w:rPr>
              <w:t>项目依托</w:t>
            </w:r>
            <w:r>
              <w:rPr>
                <w:rFonts w:hint="default" w:ascii="Times New Roman" w:hAnsi="Times New Roman" w:cs="Times New Roman"/>
                <w:color w:val="auto"/>
                <w:kern w:val="2"/>
                <w:sz w:val="21"/>
                <w:szCs w:val="21"/>
                <w:highlight w:val="none"/>
                <w:lang w:val="en-US" w:eastAsia="zh-CN" w:bidi="ar-SA"/>
              </w:rPr>
              <w:t>已建</w:t>
            </w:r>
            <w:r>
              <w:rPr>
                <w:rFonts w:hint="default" w:ascii="Times New Roman" w:hAnsi="Times New Roman" w:eastAsia="宋体" w:cs="Times New Roman"/>
                <w:color w:val="auto"/>
                <w:kern w:val="2"/>
                <w:sz w:val="21"/>
                <w:szCs w:val="21"/>
                <w:highlight w:val="none"/>
                <w:lang w:val="en-US" w:eastAsia="zh-CN" w:bidi="ar-SA"/>
              </w:rPr>
              <w:t>生化池，并由</w:t>
            </w:r>
            <w:r>
              <w:rPr>
                <w:rFonts w:hint="eastAsia" w:cs="Times New Roman"/>
                <w:color w:val="auto"/>
                <w:kern w:val="2"/>
                <w:sz w:val="21"/>
                <w:szCs w:val="21"/>
                <w:highlight w:val="none"/>
                <w:lang w:val="en-US" w:eastAsia="zh-CN" w:bidi="ar-SA"/>
              </w:rPr>
              <w:t>重庆联航工具制造有限公司</w:t>
            </w:r>
            <w:r>
              <w:rPr>
                <w:rFonts w:hint="default" w:ascii="Times New Roman" w:hAnsi="Times New Roman" w:eastAsia="宋体" w:cs="Times New Roman"/>
                <w:color w:val="auto"/>
                <w:kern w:val="2"/>
                <w:sz w:val="21"/>
                <w:szCs w:val="21"/>
                <w:highlight w:val="none"/>
                <w:lang w:val="en-US" w:eastAsia="zh-CN" w:bidi="ar-SA"/>
              </w:rPr>
              <w:t>统</w:t>
            </w:r>
            <w:r>
              <w:rPr>
                <w:rFonts w:hint="default" w:ascii="Times New Roman" w:hAnsi="Times New Roman" w:eastAsia="宋体" w:cs="Times New Roman"/>
                <w:color w:val="000000"/>
                <w:kern w:val="2"/>
                <w:sz w:val="21"/>
                <w:szCs w:val="21"/>
                <w:highlight w:val="none"/>
                <w:lang w:val="en-US" w:eastAsia="zh-CN" w:bidi="ar-SA"/>
              </w:rPr>
              <w:t>一新建排污口，建设单位委托有资质的监测机构承担日常环境监测，监测的采样分析方法全部按照国家环保总局制定的操作规范进行。根据《排污许可证申请与核发技术规范  橡胶和塑料制品工业》（HJ1122—2020），环境监测计划详见表</w:t>
            </w:r>
            <w:r>
              <w:rPr>
                <w:rFonts w:hint="default" w:ascii="Times New Roman" w:hAnsi="Times New Roman" w:cs="Times New Roman"/>
                <w:color w:val="000000"/>
                <w:kern w:val="2"/>
                <w:sz w:val="21"/>
                <w:szCs w:val="21"/>
                <w:highlight w:val="none"/>
                <w:lang w:val="en-US" w:eastAsia="zh-CN" w:bidi="ar-SA"/>
              </w:rPr>
              <w:t>4-</w:t>
            </w:r>
            <w:r>
              <w:rPr>
                <w:rFonts w:hint="eastAsia" w:cs="Times New Roman"/>
                <w:color w:val="000000"/>
                <w:kern w:val="2"/>
                <w:sz w:val="21"/>
                <w:szCs w:val="21"/>
                <w:highlight w:val="none"/>
                <w:lang w:val="en-US" w:eastAsia="zh-CN" w:bidi="ar-SA"/>
              </w:rPr>
              <w:t>5</w:t>
            </w:r>
            <w:r>
              <w:rPr>
                <w:rFonts w:hint="default" w:ascii="Times New Roman" w:hAnsi="Times New Roman" w:eastAsia="宋体" w:cs="Times New Roman"/>
                <w:color w:val="000000"/>
                <w:kern w:val="2"/>
                <w:sz w:val="21"/>
                <w:szCs w:val="21"/>
                <w:highlight w:val="none"/>
                <w:lang w:val="en-US" w:eastAsia="zh-CN" w:bidi="ar-SA"/>
              </w:rPr>
              <w:t>。</w:t>
            </w:r>
          </w:p>
          <w:p>
            <w:pPr>
              <w:spacing w:line="360" w:lineRule="auto"/>
              <w:jc w:val="center"/>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表</w:t>
            </w:r>
            <w:r>
              <w:rPr>
                <w:rFonts w:hint="default" w:ascii="Times New Roman" w:hAnsi="Times New Roman" w:cs="Times New Roman"/>
                <w:kern w:val="0"/>
                <w:szCs w:val="21"/>
                <w:highlight w:val="none"/>
                <w:lang w:val="en-US" w:eastAsia="zh-CN"/>
              </w:rPr>
              <w:t>4-</w:t>
            </w:r>
            <w:r>
              <w:rPr>
                <w:rFonts w:hint="eastAsia" w:cs="Times New Roman"/>
                <w:kern w:val="0"/>
                <w:szCs w:val="21"/>
                <w:highlight w:val="none"/>
                <w:lang w:val="en-US" w:eastAsia="zh-CN"/>
              </w:rPr>
              <w:t>5</w:t>
            </w:r>
            <w:r>
              <w:rPr>
                <w:rFonts w:hint="default" w:ascii="Times New Roman" w:hAnsi="Times New Roman" w:eastAsia="宋体" w:cs="Times New Roman"/>
                <w:kern w:val="0"/>
                <w:szCs w:val="21"/>
                <w:highlight w:val="none"/>
                <w:lang w:val="en-US" w:eastAsia="zh-CN"/>
              </w:rPr>
              <w:t xml:space="preserve">  营运期污染源监测计划表</w:t>
            </w:r>
          </w:p>
          <w:tbl>
            <w:tblPr>
              <w:tblStyle w:val="19"/>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91"/>
              <w:gridCol w:w="906"/>
              <w:gridCol w:w="939"/>
              <w:gridCol w:w="1297"/>
              <w:gridCol w:w="3412"/>
              <w:gridCol w:w="881"/>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7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w:t>
                  </w:r>
                </w:p>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类别</w:t>
                  </w:r>
                </w:p>
              </w:tc>
              <w:tc>
                <w:tcPr>
                  <w:tcW w:w="90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阶段</w:t>
                  </w:r>
                </w:p>
              </w:tc>
              <w:tc>
                <w:tcPr>
                  <w:tcW w:w="93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污染源</w:t>
                  </w:r>
                </w:p>
              </w:tc>
              <w:tc>
                <w:tcPr>
                  <w:tcW w:w="129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监测位置</w:t>
                  </w:r>
                </w:p>
              </w:tc>
              <w:tc>
                <w:tcPr>
                  <w:tcW w:w="341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监测项目</w:t>
                  </w:r>
                </w:p>
              </w:tc>
              <w:tc>
                <w:tcPr>
                  <w:tcW w:w="88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w:t>
                  </w:r>
                </w:p>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频率</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9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0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营运期</w:t>
                  </w:r>
                </w:p>
              </w:tc>
              <w:tc>
                <w:tcPr>
                  <w:tcW w:w="93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污废水</w:t>
                  </w:r>
                </w:p>
              </w:tc>
              <w:tc>
                <w:tcPr>
                  <w:tcW w:w="129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废水外排口</w:t>
                  </w:r>
                </w:p>
              </w:tc>
              <w:tc>
                <w:tcPr>
                  <w:tcW w:w="341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pH、流量</w:t>
                  </w:r>
                  <w:r>
                    <w:rPr>
                      <w:rFonts w:hint="default"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化学需氧量、五日生化需氧量、氨氮、悬浮物、</w:t>
                  </w:r>
                  <w:r>
                    <w:rPr>
                      <w:rFonts w:hint="default" w:ascii="Times New Roman" w:hAnsi="Times New Roman" w:cs="Times New Roman"/>
                      <w:color w:val="auto"/>
                      <w:sz w:val="21"/>
                      <w:szCs w:val="21"/>
                      <w:lang w:val="en-US" w:eastAsia="zh-CN"/>
                    </w:rPr>
                    <w:t>动植物油</w:t>
                  </w:r>
                </w:p>
              </w:tc>
              <w:tc>
                <w:tcPr>
                  <w:tcW w:w="88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1次/年</w:t>
                  </w:r>
                </w:p>
              </w:tc>
            </w:tr>
          </w:tbl>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3.噪声</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3.1噪声源源强核算</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项目噪声主要来源于设备噪声，根据</w:t>
            </w: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项目生产设备及设备噪声源强，主要设备有</w:t>
            </w:r>
            <w:r>
              <w:rPr>
                <w:rFonts w:hint="default" w:ascii="Times New Roman" w:hAnsi="Times New Roman" w:cs="Times New Roman"/>
                <w:sz w:val="21"/>
                <w:szCs w:val="21"/>
                <w:lang w:val="en-US" w:eastAsia="zh-CN"/>
              </w:rPr>
              <w:t>拌料机、上料机、挤出机、牵引机、印花机</w:t>
            </w:r>
            <w:r>
              <w:rPr>
                <w:rFonts w:hint="default" w:ascii="Times New Roman" w:hAnsi="Times New Roman" w:eastAsia="宋体" w:cs="Times New Roman"/>
                <w:sz w:val="21"/>
                <w:szCs w:val="21"/>
                <w:lang w:val="en-US" w:eastAsia="zh-CN"/>
              </w:rPr>
              <w:t>及风机等，各类声源的噪声级一般在65~</w:t>
            </w:r>
            <w:r>
              <w:rPr>
                <w:rFonts w:hint="default" w:ascii="Times New Roman" w:hAnsi="Times New Roman" w:cs="Times New Roman"/>
                <w:sz w:val="21"/>
                <w:szCs w:val="21"/>
                <w:lang w:val="en-US" w:eastAsia="zh-CN"/>
              </w:rPr>
              <w:t>8</w:t>
            </w:r>
            <w:r>
              <w:rPr>
                <w:rFonts w:hint="default" w:ascii="Times New Roman" w:hAnsi="Times New Roman" w:eastAsia="宋体" w:cs="Times New Roman"/>
                <w:sz w:val="21"/>
                <w:szCs w:val="21"/>
                <w:lang w:val="en-US" w:eastAsia="zh-CN"/>
              </w:rPr>
              <w:t>5 dB（A）之间，经建筑隔声、消声、减振后排放源强约为60~7</w:t>
            </w:r>
            <w:r>
              <w:rPr>
                <w:rFonts w:hint="default" w:ascii="Times New Roman" w:hAnsi="Times New Roman" w:cs="Times New Roman"/>
                <w:sz w:val="21"/>
                <w:szCs w:val="21"/>
                <w:lang w:val="en-US" w:eastAsia="zh-CN"/>
              </w:rPr>
              <w:t>0</w:t>
            </w:r>
            <w:r>
              <w:rPr>
                <w:rFonts w:hint="default" w:ascii="Times New Roman" w:hAnsi="Times New Roman" w:eastAsia="宋体" w:cs="Times New Roman"/>
                <w:sz w:val="21"/>
                <w:szCs w:val="21"/>
                <w:lang w:val="en-US" w:eastAsia="zh-CN"/>
              </w:rPr>
              <w:t>dB（A）。</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拟建项目</w:t>
            </w:r>
            <w:r>
              <w:rPr>
                <w:rFonts w:hint="default" w:ascii="Times New Roman" w:hAnsi="Times New Roman" w:eastAsia="宋体" w:cs="Times New Roman"/>
                <w:sz w:val="21"/>
                <w:szCs w:val="21"/>
                <w:lang w:val="en-US" w:eastAsia="zh-CN"/>
              </w:rPr>
              <w:t>主要噪声源见表</w:t>
            </w:r>
            <w:r>
              <w:rPr>
                <w:rFonts w:hint="eastAsia" w:cs="Times New Roman"/>
                <w:sz w:val="21"/>
                <w:szCs w:val="21"/>
                <w:lang w:val="en-US" w:eastAsia="zh-CN"/>
              </w:rPr>
              <w:t>4-6</w:t>
            </w:r>
            <w:r>
              <w:rPr>
                <w:rFonts w:hint="default" w:ascii="Times New Roman" w:hAnsi="Times New Roman" w:eastAsia="宋体" w:cs="Times New Roman"/>
                <w:sz w:val="21"/>
                <w:szCs w:val="21"/>
                <w:lang w:val="en-US" w:eastAsia="zh-CN"/>
              </w:rPr>
              <w:t>。</w:t>
            </w:r>
          </w:p>
          <w:p>
            <w:pPr>
              <w:spacing w:line="360" w:lineRule="auto"/>
              <w:jc w:val="center"/>
              <w:rPr>
                <w:rFonts w:hint="default" w:ascii="Times New Roman" w:hAnsi="Times New Roman" w:eastAsia="宋体" w:cs="Times New Roman"/>
                <w:sz w:val="21"/>
                <w:szCs w:val="21"/>
                <w:lang w:val="en-US" w:eastAsia="zh-CN"/>
              </w:rPr>
            </w:pPr>
          </w:p>
          <w:p>
            <w:pPr>
              <w:spacing w:line="360" w:lineRule="auto"/>
              <w:jc w:val="center"/>
              <w:rPr>
                <w:rFonts w:hint="default" w:ascii="Times New Roman" w:hAnsi="Times New Roman" w:eastAsia="宋体" w:cs="Times New Roman"/>
                <w:sz w:val="21"/>
                <w:szCs w:val="21"/>
                <w:lang w:val="en-US" w:eastAsia="zh-CN"/>
              </w:rPr>
            </w:pPr>
          </w:p>
          <w:p>
            <w:pPr>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表</w:t>
            </w:r>
            <w:r>
              <w:rPr>
                <w:rFonts w:hint="eastAsia" w:cs="Times New Roman"/>
                <w:sz w:val="21"/>
                <w:szCs w:val="21"/>
                <w:lang w:val="en-US" w:eastAsia="zh-CN"/>
              </w:rPr>
              <w:t>4-6</w:t>
            </w:r>
            <w:r>
              <w:rPr>
                <w:rFonts w:hint="default" w:ascii="Times New Roman" w:hAnsi="Times New Roman" w:eastAsia="宋体" w:cs="Times New Roman"/>
                <w:sz w:val="21"/>
                <w:szCs w:val="21"/>
                <w:lang w:val="en-US" w:eastAsia="zh-CN"/>
              </w:rPr>
              <w:t xml:space="preserve">  主要噪声设备声源及治理情况一览表</w:t>
            </w:r>
            <w:r>
              <w:rPr>
                <w:rFonts w:hint="default" w:ascii="Times New Roman" w:hAnsi="Times New Roman" w:cs="Times New Roman"/>
                <w:sz w:val="21"/>
                <w:szCs w:val="21"/>
                <w:lang w:val="en-US" w:eastAsia="zh-CN"/>
              </w:rPr>
              <w:t xml:space="preserve">  单位：</w:t>
            </w:r>
            <w:r>
              <w:rPr>
                <w:rFonts w:hint="default" w:ascii="Times New Roman" w:hAnsi="Times New Roman" w:eastAsia="宋体" w:cs="Times New Roman"/>
                <w:color w:val="auto"/>
                <w:sz w:val="21"/>
                <w:szCs w:val="21"/>
                <w:lang w:val="en-US" w:eastAsia="zh-CN"/>
              </w:rPr>
              <w:t>dB(A)</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453"/>
              <w:gridCol w:w="1266"/>
              <w:gridCol w:w="1956"/>
              <w:gridCol w:w="1360"/>
              <w:gridCol w:w="11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4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噪声源</w:t>
                  </w:r>
                </w:p>
              </w:tc>
              <w:tc>
                <w:tcPr>
                  <w:tcW w:w="8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治理前声级</w:t>
                  </w:r>
                </w:p>
              </w:tc>
              <w:tc>
                <w:tcPr>
                  <w:tcW w:w="769"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设备台数</w:t>
                  </w:r>
                </w:p>
              </w:tc>
              <w:tc>
                <w:tcPr>
                  <w:tcW w:w="118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降噪措施</w:t>
                  </w:r>
                </w:p>
              </w:tc>
              <w:tc>
                <w:tcPr>
                  <w:tcW w:w="826"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治理后声级</w:t>
                  </w:r>
                </w:p>
              </w:tc>
              <w:tc>
                <w:tcPr>
                  <w:tcW w:w="6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排放规律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上料机</w:t>
                  </w:r>
                </w:p>
              </w:tc>
              <w:tc>
                <w:tcPr>
                  <w:tcW w:w="8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70~75</w:t>
                  </w:r>
                </w:p>
              </w:tc>
              <w:tc>
                <w:tcPr>
                  <w:tcW w:w="769"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p>
              </w:tc>
              <w:tc>
                <w:tcPr>
                  <w:tcW w:w="118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隔声、减振</w:t>
                  </w:r>
                </w:p>
              </w:tc>
              <w:tc>
                <w:tcPr>
                  <w:tcW w:w="826"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65</w:t>
                  </w:r>
                </w:p>
              </w:tc>
              <w:tc>
                <w:tcPr>
                  <w:tcW w:w="6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lang w:val="en-US" w:eastAsia="zh-CN"/>
                    </w:rPr>
                    <w:t>挤出机</w:t>
                  </w:r>
                </w:p>
              </w:tc>
              <w:tc>
                <w:tcPr>
                  <w:tcW w:w="8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70~75</w:t>
                  </w:r>
                </w:p>
              </w:tc>
              <w:tc>
                <w:tcPr>
                  <w:tcW w:w="769"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p>
              </w:tc>
              <w:tc>
                <w:tcPr>
                  <w:tcW w:w="118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隔声、减振</w:t>
                  </w:r>
                </w:p>
              </w:tc>
              <w:tc>
                <w:tcPr>
                  <w:tcW w:w="826"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65</w:t>
                  </w:r>
                </w:p>
              </w:tc>
              <w:tc>
                <w:tcPr>
                  <w:tcW w:w="6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lang w:val="en-US" w:eastAsia="zh-CN"/>
                    </w:rPr>
                    <w:t>牵引机</w:t>
                  </w:r>
                </w:p>
              </w:tc>
              <w:tc>
                <w:tcPr>
                  <w:tcW w:w="8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65~75</w:t>
                  </w:r>
                </w:p>
              </w:tc>
              <w:tc>
                <w:tcPr>
                  <w:tcW w:w="769"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p>
              </w:tc>
              <w:tc>
                <w:tcPr>
                  <w:tcW w:w="118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隔声、减振</w:t>
                  </w:r>
                </w:p>
              </w:tc>
              <w:tc>
                <w:tcPr>
                  <w:tcW w:w="826"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60</w:t>
                  </w:r>
                </w:p>
              </w:tc>
              <w:tc>
                <w:tcPr>
                  <w:tcW w:w="6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kern w:val="0"/>
                      <w:sz w:val="21"/>
                      <w:szCs w:val="21"/>
                      <w:lang w:val="en-US" w:eastAsia="zh-CN" w:bidi="ar-SA"/>
                    </w:rPr>
                  </w:pPr>
                  <w:r>
                    <w:rPr>
                      <w:rFonts w:hint="eastAsia" w:cs="Times New Roman"/>
                      <w:color w:val="auto"/>
                      <w:sz w:val="21"/>
                      <w:szCs w:val="21"/>
                      <w:lang w:val="en-US" w:eastAsia="zh-CN"/>
                    </w:rPr>
                    <w:t>压</w:t>
                  </w:r>
                  <w:r>
                    <w:rPr>
                      <w:rFonts w:hint="default" w:ascii="Times New Roman" w:hAnsi="Times New Roman" w:cs="Times New Roman"/>
                      <w:color w:val="auto"/>
                      <w:sz w:val="21"/>
                      <w:szCs w:val="21"/>
                      <w:lang w:val="en-US" w:eastAsia="zh-CN"/>
                    </w:rPr>
                    <w:t>花机</w:t>
                  </w:r>
                </w:p>
              </w:tc>
              <w:tc>
                <w:tcPr>
                  <w:tcW w:w="8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65~75</w:t>
                  </w:r>
                </w:p>
              </w:tc>
              <w:tc>
                <w:tcPr>
                  <w:tcW w:w="769"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w:t>
                  </w:r>
                </w:p>
              </w:tc>
              <w:tc>
                <w:tcPr>
                  <w:tcW w:w="118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隔声、减振</w:t>
                  </w:r>
                </w:p>
              </w:tc>
              <w:tc>
                <w:tcPr>
                  <w:tcW w:w="826"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60</w:t>
                  </w:r>
                </w:p>
              </w:tc>
              <w:tc>
                <w:tcPr>
                  <w:tcW w:w="6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连续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pct"/>
                  <w:tcBorders>
                    <w:tl2br w:val="nil"/>
                    <w:tr2bl w:val="nil"/>
                  </w:tcBorders>
                  <w:noWrap w:val="0"/>
                  <w:vAlign w:val="center"/>
                </w:tcPr>
                <w:p>
                  <w:pPr>
                    <w:pStyle w:val="45"/>
                    <w:bidi w:val="0"/>
                    <w:ind w:firstLine="0" w:firstLineChars="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风机</w:t>
                  </w:r>
                </w:p>
              </w:tc>
              <w:tc>
                <w:tcPr>
                  <w:tcW w:w="8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75~85</w:t>
                  </w:r>
                </w:p>
              </w:tc>
              <w:tc>
                <w:tcPr>
                  <w:tcW w:w="769"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w:t>
                  </w:r>
                </w:p>
              </w:tc>
              <w:tc>
                <w:tcPr>
                  <w:tcW w:w="1188"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隔声、</w:t>
                  </w:r>
                  <w:r>
                    <w:rPr>
                      <w:rFonts w:hint="eastAsia" w:cs="Times New Roman"/>
                      <w:color w:val="auto"/>
                      <w:sz w:val="21"/>
                      <w:szCs w:val="21"/>
                      <w:lang w:val="en-US" w:eastAsia="zh-CN"/>
                    </w:rPr>
                    <w:t>消声、</w:t>
                  </w:r>
                  <w:r>
                    <w:rPr>
                      <w:rFonts w:hint="default" w:ascii="Times New Roman" w:hAnsi="Times New Roman" w:eastAsia="宋体" w:cs="Times New Roman"/>
                      <w:color w:val="auto"/>
                      <w:sz w:val="21"/>
                      <w:szCs w:val="21"/>
                      <w:lang w:val="en-US" w:eastAsia="zh-CN"/>
                    </w:rPr>
                    <w:t>减振</w:t>
                  </w:r>
                </w:p>
              </w:tc>
              <w:tc>
                <w:tcPr>
                  <w:tcW w:w="826"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70</w:t>
                  </w:r>
                </w:p>
              </w:tc>
              <w:tc>
                <w:tcPr>
                  <w:tcW w:w="683" w:type="pct"/>
                  <w:tcBorders>
                    <w:tl2br w:val="nil"/>
                    <w:tr2bl w:val="nil"/>
                  </w:tcBorders>
                  <w:noWrap w:val="0"/>
                  <w:vAlign w:val="center"/>
                </w:tcPr>
                <w:p>
                  <w:pPr>
                    <w:pStyle w:val="45"/>
                    <w:bidi w:val="0"/>
                    <w:ind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连续</w:t>
                  </w:r>
                </w:p>
              </w:tc>
            </w:tr>
          </w:tbl>
          <w:p>
            <w:pPr>
              <w:pStyle w:val="67"/>
              <w:spacing w:before="120" w:after="120"/>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3.2噪声污染防治措施及其可行性论证</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项目噪声源主要是</w:t>
            </w:r>
            <w:r>
              <w:rPr>
                <w:rFonts w:hint="default" w:ascii="Times New Roman" w:hAnsi="Times New Roman" w:cs="Times New Roman"/>
                <w:sz w:val="21"/>
                <w:szCs w:val="21"/>
                <w:lang w:val="en-US" w:eastAsia="zh-CN"/>
              </w:rPr>
              <w:t>拌料机、上料机、挤出机、牵引机、印花机</w:t>
            </w:r>
            <w:r>
              <w:rPr>
                <w:rFonts w:hint="default" w:ascii="Times New Roman" w:hAnsi="Times New Roman" w:eastAsia="宋体" w:cs="Times New Roman"/>
                <w:sz w:val="21"/>
                <w:szCs w:val="21"/>
                <w:lang w:val="en-US" w:eastAsia="zh-CN"/>
              </w:rPr>
              <w:t>及风机等生产设备，声级较高，在65~</w:t>
            </w:r>
            <w:r>
              <w:rPr>
                <w:rFonts w:hint="default" w:ascii="Times New Roman" w:hAnsi="Times New Roman" w:cs="Times New Roman"/>
                <w:sz w:val="21"/>
                <w:szCs w:val="21"/>
                <w:lang w:val="en-US" w:eastAsia="zh-CN"/>
              </w:rPr>
              <w:t>85</w:t>
            </w:r>
            <w:r>
              <w:rPr>
                <w:rFonts w:hint="default" w:ascii="Times New Roman" w:hAnsi="Times New Roman" w:eastAsia="宋体" w:cs="Times New Roman"/>
                <w:sz w:val="21"/>
                <w:szCs w:val="21"/>
                <w:lang w:val="en-US" w:eastAsia="zh-CN"/>
              </w:rPr>
              <w:t xml:space="preserve"> dB（A）之间。为了减轻噪声污染，降低其对周围声环境的影响，评价建议采取的噪声防治措施如下：</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（1）在设备选型、订货时尽量选用性能先进、高效节能、低噪声的设备，要求设备生产厂家提供符合噪声允许标准的产品和消声减振的相关配件，同时加强对设备的维护管理，从源头上控制噪声的产生；</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（2）风机通过加设减震基础、消声器和隔离操作间；</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（3）合理布局，将产生噪声较大的设备集中布置在远离厂界的一侧，使高噪声设备远离环境敏感点，并将高噪声设备布置在厂房内；</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（4）高噪音设备安装于独立基础上；</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（5）加强车间周围及厂区空地绿化，尽量提高绿地率，以降低噪声的影响。</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上述噪声防治措施，在各企业采用多年，实践证明是成熟、可靠的，因而是可行的。采取以上治理措施后，可以有效降低10~20 dB（A），厂界噪声基本无明显变化，厂界噪声可满足《工业企业厂界环境噪声排放标准》相应标准限值要求。</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本次环评认为，采取以上噪声污染防治措施在技术经济上是可行。</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3.3声环境影响分析</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（1）预测内容及评价范围</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项目位于重庆市大足区双桥工业园区</w:t>
            </w:r>
            <w:r>
              <w:rPr>
                <w:rFonts w:hint="eastAsia" w:ascii="Times New Roman" w:hAnsi="Times New Roman" w:eastAsia="宋体" w:cs="Times New Roman"/>
                <w:sz w:val="21"/>
                <w:szCs w:val="21"/>
                <w:lang w:val="en-US" w:eastAsia="zh-CN"/>
              </w:rPr>
              <w:t>重庆联航工具制造有限公司</w:t>
            </w:r>
            <w:r>
              <w:rPr>
                <w:rFonts w:hint="default" w:ascii="Times New Roman" w:hAnsi="Times New Roman" w:eastAsia="宋体" w:cs="Times New Roman"/>
                <w:sz w:val="21"/>
                <w:szCs w:val="21"/>
                <w:lang w:val="en-US" w:eastAsia="zh-CN"/>
              </w:rPr>
              <w:t>，场址四周为园区道路、在建或已建工业企业，</w:t>
            </w:r>
            <w:r>
              <w:rPr>
                <w:rFonts w:hint="default" w:ascii="Times New Roman" w:hAnsi="Times New Roman" w:eastAsia="宋体" w:cs="Times New Roman"/>
                <w:color w:val="0000FF"/>
                <w:sz w:val="21"/>
                <w:szCs w:val="21"/>
                <w:lang w:val="en-US" w:eastAsia="zh-CN"/>
              </w:rPr>
              <w:t>厂界外50米范围内无声环境保护目标</w:t>
            </w:r>
            <w:r>
              <w:rPr>
                <w:rFonts w:hint="default" w:ascii="Times New Roman" w:hAnsi="Times New Roman" w:eastAsia="宋体" w:cs="Times New Roman"/>
                <w:sz w:val="21"/>
                <w:szCs w:val="21"/>
                <w:lang w:val="en-US" w:eastAsia="zh-CN"/>
              </w:rPr>
              <w:t>，周边环境不敏感。本次评价声环境质量预测内容确定为拟建项目营运期对厂区东、南、西、北4个方位的厂界噪声贡献值。</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（2）预测模式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营运期噪声主要来源于生产及辅助设备运行噪声。根据工程所在地的地形特征，忽略温度、湿度、大气非均匀性与不稳定性以及地面效应引起的衰减，仅考虑距离衰减。噪声预测方法采用《环境影响评价技术导则  声环境》（HJ2.4-2009）推荐的模式。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采用《环境影响评价技术导则 声环境》（HJ2.4-2009）中推荐的室内声源噪声预测计算模式。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①室内声源</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厂房外靠近围护结构处某点的A 声级：</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drawing>
                <wp:inline distT="0" distB="0" distL="114300" distR="114300">
                  <wp:extent cx="1339850" cy="316865"/>
                  <wp:effectExtent l="0" t="0" r="12700" b="698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8"/>
                          <a:stretch>
                            <a:fillRect/>
                          </a:stretch>
                        </pic:blipFill>
                        <pic:spPr>
                          <a:xfrm>
                            <a:off x="0" y="0"/>
                            <a:ext cx="1339850" cy="316865"/>
                          </a:xfrm>
                          <a:prstGeom prst="rect">
                            <a:avLst/>
                          </a:prstGeom>
                          <a:noFill/>
                          <a:ln>
                            <a:noFill/>
                          </a:ln>
                        </pic:spPr>
                      </pic:pic>
                    </a:graphicData>
                  </a:graphic>
                </wp:inline>
              </w:drawing>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把围护结构当作等效室外声源，按室外声源的计算方法，计算该等效室外声源在某个预测点处的声级L。</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厂房内有K个噪声源时，第i个声源在室内靠近围护结构（门、窗、墙体）某点处的A声级：</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drawing>
                <wp:inline distT="0" distB="0" distL="114300" distR="114300">
                  <wp:extent cx="1981200" cy="397510"/>
                  <wp:effectExtent l="0" t="0" r="0" b="254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9"/>
                          <a:stretch>
                            <a:fillRect/>
                          </a:stretch>
                        </pic:blipFill>
                        <pic:spPr>
                          <a:xfrm>
                            <a:off x="0" y="0"/>
                            <a:ext cx="1981200" cy="397510"/>
                          </a:xfrm>
                          <a:prstGeom prst="rect">
                            <a:avLst/>
                          </a:prstGeom>
                          <a:noFill/>
                          <a:ln>
                            <a:noFill/>
                          </a:ln>
                        </pic:spPr>
                      </pic:pic>
                    </a:graphicData>
                  </a:graphic>
                </wp:inline>
              </w:drawing>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式中：LWi ——第i 个声源的A 声功率级；</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Qi——第i个声源的方向因子；</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R——声源i至室内靠近围护结构某点的距离；根据各源的位置取值。</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Ri——第i个声源所在厂房的房间常数。</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厂房内K个声源在室内靠近围护结构处某点的A 声级：</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drawing>
                <wp:inline distT="0" distB="0" distL="114300" distR="114300">
                  <wp:extent cx="1200785" cy="375920"/>
                  <wp:effectExtent l="0" t="0" r="18415" b="508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20"/>
                          <a:stretch>
                            <a:fillRect/>
                          </a:stretch>
                        </pic:blipFill>
                        <pic:spPr>
                          <a:xfrm>
                            <a:off x="0" y="0"/>
                            <a:ext cx="1200785" cy="375920"/>
                          </a:xfrm>
                          <a:prstGeom prst="rect">
                            <a:avLst/>
                          </a:prstGeom>
                          <a:noFill/>
                          <a:ln>
                            <a:noFill/>
                          </a:ln>
                        </pic:spPr>
                      </pic:pic>
                    </a:graphicData>
                  </a:graphic>
                </wp:inline>
              </w:drawing>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②噪声在室外传播过程中的衰减计算公式：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drawing>
                <wp:inline distT="0" distB="0" distL="114300" distR="114300">
                  <wp:extent cx="2702560" cy="304800"/>
                  <wp:effectExtent l="0" t="0" r="2540"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21"/>
                          <a:srcRect t="2800"/>
                          <a:stretch>
                            <a:fillRect/>
                          </a:stretch>
                        </pic:blipFill>
                        <pic:spPr>
                          <a:xfrm>
                            <a:off x="0" y="0"/>
                            <a:ext cx="2702560" cy="304800"/>
                          </a:xfrm>
                          <a:prstGeom prst="rect">
                            <a:avLst/>
                          </a:prstGeom>
                          <a:noFill/>
                          <a:ln>
                            <a:noFill/>
                          </a:ln>
                        </pic:spPr>
                      </pic:pic>
                    </a:graphicData>
                  </a:graphic>
                </wp:inline>
              </w:drawing>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式中，LA(r) ——距等效室外声源r 处的A 声级；</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LAref(ro) ——参考位置r0 处计算得到的A 声级；</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Adiv——声源几何发散引起的A 声级衰减量；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Abav——声屏障引起的A 声级衰减量；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Aatm——空气吸收引起的A 声级衰减量；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Aexe——附加衰减量。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③某点的声压级叠加公式：</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drawing>
                <wp:inline distT="0" distB="0" distL="114300" distR="114300">
                  <wp:extent cx="3608705" cy="373380"/>
                  <wp:effectExtent l="0" t="0" r="10795" b="762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22"/>
                          <a:stretch>
                            <a:fillRect/>
                          </a:stretch>
                        </pic:blipFill>
                        <pic:spPr>
                          <a:xfrm>
                            <a:off x="0" y="0"/>
                            <a:ext cx="3608705" cy="373380"/>
                          </a:xfrm>
                          <a:prstGeom prst="rect">
                            <a:avLst/>
                          </a:prstGeom>
                          <a:noFill/>
                          <a:ln>
                            <a:noFill/>
                          </a:ln>
                        </pic:spPr>
                      </pic:pic>
                    </a:graphicData>
                  </a:graphic>
                </wp:inline>
              </w:drawing>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式中：LP总—叠加后的A声级，dB(A)；</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LP1—第一个声源至某一点的A声级，dB(A)；</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LP2—第二个声源至某一点的A声级，dB(A)；</w:t>
            </w:r>
          </w:p>
          <w:p>
            <w:pPr>
              <w:spacing w:line="360" w:lineRule="auto"/>
              <w:ind w:firstLine="420" w:firstLineChars="200"/>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 xml:space="preserve">      LPn—第n个声源至某一点的A声级，dB(A)。</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（3）声环境影响预测结果与分析</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本次评价预测本项目正常生产时各噪声源对东、南、西、北厂界的贡献值，</w:t>
            </w: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项目厂界噪声预测值见表</w:t>
            </w:r>
            <w:r>
              <w:rPr>
                <w:rFonts w:hint="eastAsia" w:cs="Times New Roman"/>
                <w:sz w:val="21"/>
                <w:szCs w:val="21"/>
                <w:lang w:val="en-US" w:eastAsia="zh-CN"/>
              </w:rPr>
              <w:t>4-7</w:t>
            </w:r>
            <w:r>
              <w:rPr>
                <w:rFonts w:hint="default" w:ascii="Times New Roman" w:hAnsi="Times New Roman" w:eastAsia="宋体" w:cs="Times New Roman"/>
                <w:sz w:val="21"/>
                <w:szCs w:val="21"/>
                <w:lang w:val="en-US" w:eastAsia="zh-CN"/>
              </w:rPr>
              <w:t xml:space="preserve">。 </w:t>
            </w:r>
          </w:p>
          <w:p>
            <w:pPr>
              <w:spacing w:line="360" w:lineRule="auto"/>
              <w:jc w:val="center"/>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lang w:val="en-US" w:eastAsia="zh-CN"/>
              </w:rPr>
              <w:t>表</w:t>
            </w:r>
            <w:r>
              <w:rPr>
                <w:rFonts w:hint="eastAsia" w:cs="Times New Roman"/>
                <w:color w:val="0000FF"/>
                <w:sz w:val="21"/>
                <w:szCs w:val="21"/>
                <w:lang w:val="en-US" w:eastAsia="zh-CN"/>
              </w:rPr>
              <w:t>4-7</w:t>
            </w:r>
            <w:r>
              <w:rPr>
                <w:rFonts w:hint="default" w:ascii="Times New Roman" w:hAnsi="Times New Roman" w:eastAsia="宋体" w:cs="Times New Roman"/>
                <w:color w:val="0000FF"/>
                <w:sz w:val="21"/>
                <w:szCs w:val="21"/>
                <w:lang w:val="en-US" w:eastAsia="zh-CN"/>
              </w:rPr>
              <w:t xml:space="preserve">  </w:t>
            </w:r>
            <w:r>
              <w:rPr>
                <w:rFonts w:hint="eastAsia" w:cs="Times New Roman"/>
                <w:color w:val="0000FF"/>
                <w:sz w:val="21"/>
                <w:szCs w:val="21"/>
                <w:lang w:val="en-US" w:eastAsia="zh-CN"/>
              </w:rPr>
              <w:t>拟建</w:t>
            </w:r>
            <w:r>
              <w:rPr>
                <w:rFonts w:hint="default" w:ascii="Times New Roman" w:hAnsi="Times New Roman" w:eastAsia="宋体" w:cs="Times New Roman"/>
                <w:color w:val="0000FF"/>
                <w:sz w:val="21"/>
                <w:szCs w:val="21"/>
                <w:lang w:val="en-US" w:eastAsia="zh-CN"/>
              </w:rPr>
              <w:t>项目声环境影响预测结果表</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677"/>
              <w:gridCol w:w="678"/>
              <w:gridCol w:w="840"/>
              <w:gridCol w:w="805"/>
              <w:gridCol w:w="756"/>
              <w:gridCol w:w="794"/>
              <w:gridCol w:w="876"/>
              <w:gridCol w:w="770"/>
              <w:gridCol w:w="737"/>
              <w:gridCol w:w="906"/>
              <w:gridCol w:w="3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7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工序/生产线</w:t>
                  </w:r>
                </w:p>
              </w:tc>
              <w:tc>
                <w:tcPr>
                  <w:tcW w:w="67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装置</w:t>
                  </w:r>
                </w:p>
              </w:tc>
              <w:tc>
                <w:tcPr>
                  <w:tcW w:w="84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噪声源</w:t>
                  </w:r>
                </w:p>
              </w:tc>
              <w:tc>
                <w:tcPr>
                  <w:tcW w:w="80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声源类型（频发、偶发等）</w:t>
                  </w:r>
                  <w:r>
                    <w:rPr>
                      <w:rFonts w:hint="default" w:cs="Times New Roman"/>
                      <w:color w:val="0000FF"/>
                      <w:sz w:val="18"/>
                      <w:szCs w:val="18"/>
                      <w:lang w:val="en-US" w:eastAsia="zh-CN"/>
                    </w:rPr>
                    <w:t>)</w:t>
                  </w:r>
                </w:p>
              </w:tc>
              <w:tc>
                <w:tcPr>
                  <w:tcW w:w="155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声源源强</w:t>
                  </w:r>
                </w:p>
              </w:tc>
              <w:tc>
                <w:tcPr>
                  <w:tcW w:w="164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降噪措施</w:t>
                  </w:r>
                </w:p>
              </w:tc>
              <w:tc>
                <w:tcPr>
                  <w:tcW w:w="164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排放情况</w:t>
                  </w:r>
                </w:p>
              </w:tc>
              <w:tc>
                <w:tcPr>
                  <w:tcW w:w="38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排放时间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7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67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84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80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75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核算方法</w:t>
                  </w:r>
                </w:p>
              </w:tc>
              <w:tc>
                <w:tcPr>
                  <w:tcW w:w="79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噪声值</w:t>
                  </w:r>
                </w:p>
              </w:tc>
              <w:tc>
                <w:tcPr>
                  <w:tcW w:w="8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工艺</w:t>
                  </w:r>
                </w:p>
              </w:tc>
              <w:tc>
                <w:tcPr>
                  <w:tcW w:w="7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降噪效果</w:t>
                  </w:r>
                </w:p>
              </w:tc>
              <w:tc>
                <w:tcPr>
                  <w:tcW w:w="73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核算方法</w:t>
                  </w:r>
                </w:p>
              </w:tc>
              <w:tc>
                <w:tcPr>
                  <w:tcW w:w="90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排放值</w:t>
                  </w:r>
                </w:p>
              </w:tc>
              <w:tc>
                <w:tcPr>
                  <w:tcW w:w="38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7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PP生产线及PET生产线</w:t>
                  </w:r>
                </w:p>
              </w:tc>
              <w:tc>
                <w:tcPr>
                  <w:tcW w:w="67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上料机</w:t>
                  </w:r>
                </w:p>
              </w:tc>
              <w:tc>
                <w:tcPr>
                  <w:tcW w:w="8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生产设备</w:t>
                  </w:r>
                </w:p>
              </w:tc>
              <w:tc>
                <w:tcPr>
                  <w:tcW w:w="80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频发</w:t>
                  </w:r>
                </w:p>
              </w:tc>
              <w:tc>
                <w:tcPr>
                  <w:tcW w:w="75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室内噪声预测</w:t>
                  </w:r>
                </w:p>
              </w:tc>
              <w:tc>
                <w:tcPr>
                  <w:tcW w:w="79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70~75</w:t>
                  </w:r>
                </w:p>
              </w:tc>
              <w:tc>
                <w:tcPr>
                  <w:tcW w:w="87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隔声、减振</w:t>
                  </w:r>
                </w:p>
              </w:tc>
              <w:tc>
                <w:tcPr>
                  <w:tcW w:w="7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65</w:t>
                  </w:r>
                </w:p>
              </w:tc>
              <w:tc>
                <w:tcPr>
                  <w:tcW w:w="73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lang w:val="en-US" w:eastAsia="zh-CN"/>
                    </w:rPr>
                  </w:pPr>
                  <w:r>
                    <w:rPr>
                      <w:rFonts w:hint="eastAsia" w:cs="Times New Roman"/>
                      <w:color w:val="0000FF"/>
                      <w:sz w:val="18"/>
                      <w:szCs w:val="18"/>
                      <w:lang w:val="en-US" w:eastAsia="zh-CN"/>
                    </w:rPr>
                    <w:t>室内噪声预测</w:t>
                  </w:r>
                </w:p>
              </w:tc>
              <w:tc>
                <w:tcPr>
                  <w:tcW w:w="90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东：53.2</w:t>
                  </w:r>
                </w:p>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南：50.1西：53.2</w:t>
                  </w:r>
                </w:p>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北：50.1</w:t>
                  </w:r>
                </w:p>
              </w:tc>
              <w:tc>
                <w:tcPr>
                  <w:tcW w:w="38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7920</w:t>
                  </w:r>
                  <w:r>
                    <w:rPr>
                      <w:rFonts w:hint="default" w:cs="Times New Roman"/>
                      <w:color w:val="0000FF"/>
                      <w:sz w:val="18"/>
                      <w:szCs w:val="18"/>
                      <w:lang w:val="en-US" w:eastAsia="zh-CN"/>
                    </w:rPr>
                    <w:t>h/a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7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67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挤出机</w:t>
                  </w:r>
                </w:p>
              </w:tc>
              <w:tc>
                <w:tcPr>
                  <w:tcW w:w="8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生产设备</w:t>
                  </w:r>
                </w:p>
              </w:tc>
              <w:tc>
                <w:tcPr>
                  <w:tcW w:w="80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频发</w:t>
                  </w:r>
                </w:p>
              </w:tc>
              <w:tc>
                <w:tcPr>
                  <w:tcW w:w="75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79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70~75</w:t>
                  </w:r>
                </w:p>
              </w:tc>
              <w:tc>
                <w:tcPr>
                  <w:tcW w:w="87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7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65</w:t>
                  </w:r>
                </w:p>
              </w:tc>
              <w:tc>
                <w:tcPr>
                  <w:tcW w:w="73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9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38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7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67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牵引机</w:t>
                  </w:r>
                </w:p>
              </w:tc>
              <w:tc>
                <w:tcPr>
                  <w:tcW w:w="8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生产设备</w:t>
                  </w:r>
                </w:p>
              </w:tc>
              <w:tc>
                <w:tcPr>
                  <w:tcW w:w="80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频发</w:t>
                  </w:r>
                </w:p>
              </w:tc>
              <w:tc>
                <w:tcPr>
                  <w:tcW w:w="75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79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65~75</w:t>
                  </w:r>
                </w:p>
              </w:tc>
              <w:tc>
                <w:tcPr>
                  <w:tcW w:w="87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7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60</w:t>
                  </w:r>
                </w:p>
              </w:tc>
              <w:tc>
                <w:tcPr>
                  <w:tcW w:w="73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9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38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7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67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压</w:t>
                  </w:r>
                  <w:r>
                    <w:rPr>
                      <w:rFonts w:hint="default" w:cs="Times New Roman"/>
                      <w:color w:val="0000FF"/>
                      <w:sz w:val="18"/>
                      <w:szCs w:val="18"/>
                      <w:lang w:val="en-US" w:eastAsia="zh-CN"/>
                    </w:rPr>
                    <w:t>花机</w:t>
                  </w:r>
                </w:p>
              </w:tc>
              <w:tc>
                <w:tcPr>
                  <w:tcW w:w="8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生产设备</w:t>
                  </w:r>
                </w:p>
              </w:tc>
              <w:tc>
                <w:tcPr>
                  <w:tcW w:w="80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频发</w:t>
                  </w:r>
                </w:p>
              </w:tc>
              <w:tc>
                <w:tcPr>
                  <w:tcW w:w="75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79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65~75</w:t>
                  </w:r>
                </w:p>
              </w:tc>
              <w:tc>
                <w:tcPr>
                  <w:tcW w:w="87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7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60</w:t>
                  </w:r>
                </w:p>
              </w:tc>
              <w:tc>
                <w:tcPr>
                  <w:tcW w:w="73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9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38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环保工程</w:t>
                  </w:r>
                </w:p>
              </w:tc>
              <w:tc>
                <w:tcPr>
                  <w:tcW w:w="67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风机</w:t>
                  </w:r>
                </w:p>
              </w:tc>
              <w:tc>
                <w:tcPr>
                  <w:tcW w:w="84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风机</w:t>
                  </w:r>
                </w:p>
              </w:tc>
              <w:tc>
                <w:tcPr>
                  <w:tcW w:w="80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频发</w:t>
                  </w:r>
                </w:p>
              </w:tc>
              <w:tc>
                <w:tcPr>
                  <w:tcW w:w="75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室内噪声预测</w:t>
                  </w:r>
                </w:p>
              </w:tc>
              <w:tc>
                <w:tcPr>
                  <w:tcW w:w="794"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default" w:cs="Times New Roman"/>
                      <w:color w:val="0000FF"/>
                      <w:sz w:val="18"/>
                      <w:szCs w:val="18"/>
                      <w:lang w:val="en-US" w:eastAsia="zh-CN"/>
                    </w:rPr>
                    <w:t>75~85</w:t>
                  </w:r>
                </w:p>
              </w:tc>
              <w:tc>
                <w:tcPr>
                  <w:tcW w:w="8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default" w:cs="Times New Roman"/>
                      <w:color w:val="0000FF"/>
                      <w:sz w:val="18"/>
                      <w:szCs w:val="18"/>
                      <w:lang w:val="en-US" w:eastAsia="zh-CN"/>
                    </w:rPr>
                    <w:t>隔声、</w:t>
                  </w:r>
                  <w:r>
                    <w:rPr>
                      <w:rFonts w:hint="eastAsia" w:cs="Times New Roman"/>
                      <w:color w:val="0000FF"/>
                      <w:sz w:val="18"/>
                      <w:szCs w:val="18"/>
                      <w:lang w:val="en-US" w:eastAsia="zh-CN"/>
                    </w:rPr>
                    <w:t>消声、</w:t>
                  </w:r>
                  <w:r>
                    <w:rPr>
                      <w:rFonts w:hint="default" w:cs="Times New Roman"/>
                      <w:color w:val="0000FF"/>
                      <w:sz w:val="18"/>
                      <w:szCs w:val="18"/>
                      <w:lang w:val="en-US" w:eastAsia="zh-CN"/>
                    </w:rPr>
                    <w:t>减振</w:t>
                  </w:r>
                </w:p>
              </w:tc>
              <w:tc>
                <w:tcPr>
                  <w:tcW w:w="77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default" w:cs="Times New Roman"/>
                      <w:color w:val="0000FF"/>
                      <w:sz w:val="18"/>
                      <w:szCs w:val="18"/>
                      <w:lang w:val="en-US" w:eastAsia="zh-CN"/>
                    </w:rPr>
                    <w:t>70</w:t>
                  </w:r>
                </w:p>
              </w:tc>
              <w:tc>
                <w:tcPr>
                  <w:tcW w:w="73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室内噪声预测</w:t>
                  </w:r>
                </w:p>
              </w:tc>
              <w:tc>
                <w:tcPr>
                  <w:tcW w:w="90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38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r>
          </w:tbl>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由表</w:t>
            </w:r>
            <w:r>
              <w:rPr>
                <w:rFonts w:hint="eastAsia" w:cs="Times New Roman"/>
                <w:sz w:val="21"/>
                <w:szCs w:val="21"/>
                <w:lang w:val="en-US" w:eastAsia="zh-CN"/>
              </w:rPr>
              <w:t>4-7</w:t>
            </w:r>
            <w:r>
              <w:rPr>
                <w:rFonts w:hint="default" w:ascii="Times New Roman" w:hAnsi="Times New Roman" w:eastAsia="宋体" w:cs="Times New Roman"/>
                <w:sz w:val="21"/>
                <w:szCs w:val="21"/>
                <w:lang w:val="en-US" w:eastAsia="zh-CN"/>
              </w:rPr>
              <w:t>的预测结果可知，</w:t>
            </w: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项目噪声污染源主要为</w:t>
            </w:r>
            <w:r>
              <w:rPr>
                <w:rFonts w:hint="default" w:ascii="Times New Roman" w:hAnsi="Times New Roman" w:cs="Times New Roman"/>
                <w:sz w:val="21"/>
                <w:szCs w:val="21"/>
                <w:lang w:val="en-US" w:eastAsia="zh-CN"/>
              </w:rPr>
              <w:t>上料机、挤出机、牵引机、印花机</w:t>
            </w:r>
            <w:r>
              <w:rPr>
                <w:rFonts w:hint="default" w:ascii="Times New Roman" w:hAnsi="Times New Roman" w:eastAsia="宋体" w:cs="Times New Roman"/>
                <w:sz w:val="21"/>
                <w:szCs w:val="21"/>
                <w:lang w:val="en-US" w:eastAsia="zh-CN"/>
              </w:rPr>
              <w:t>及风机等，其噪声源强范围在65~</w:t>
            </w:r>
            <w:r>
              <w:rPr>
                <w:rFonts w:hint="default" w:ascii="Times New Roman" w:hAnsi="Times New Roman" w:cs="Times New Roman"/>
                <w:sz w:val="21"/>
                <w:szCs w:val="21"/>
                <w:lang w:val="en-US" w:eastAsia="zh-CN"/>
              </w:rPr>
              <w:t>8</w:t>
            </w:r>
            <w:r>
              <w:rPr>
                <w:rFonts w:hint="default" w:ascii="Times New Roman" w:hAnsi="Times New Roman" w:eastAsia="宋体" w:cs="Times New Roman"/>
                <w:sz w:val="21"/>
                <w:szCs w:val="21"/>
                <w:lang w:val="en-US" w:eastAsia="zh-CN"/>
              </w:rPr>
              <w:t>5dB（A）之间，采取优先选用低噪声设备、合理布置、建筑隔声等措施后，预测厂界噪声昼</w:t>
            </w:r>
            <w:r>
              <w:rPr>
                <w:rFonts w:hint="default" w:ascii="Times New Roman" w:hAnsi="Times New Roman" w:cs="Times New Roman"/>
                <w:sz w:val="21"/>
                <w:szCs w:val="21"/>
                <w:lang w:val="en-US" w:eastAsia="zh-CN"/>
              </w:rPr>
              <w:t>间、</w:t>
            </w:r>
            <w:r>
              <w:rPr>
                <w:rFonts w:hint="default" w:ascii="Times New Roman" w:hAnsi="Times New Roman" w:eastAsia="宋体" w:cs="Times New Roman"/>
                <w:sz w:val="21"/>
                <w:szCs w:val="21"/>
                <w:lang w:val="en-US" w:eastAsia="zh-CN"/>
              </w:rPr>
              <w:t>夜间均满足《工业企业厂界环境噪声排放标准》（GB12348-2008）3类标准。</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同时，</w:t>
            </w: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项目不进行夜间作业，200m范围内无声环境敏感点，因此</w:t>
            </w: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项目建设营运产生的噪声对周边环境影响较小。</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3.4监测要求</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kern w:val="0"/>
                <w:szCs w:val="21"/>
                <w:highlight w:val="none"/>
                <w:lang w:val="en-US" w:eastAsia="zh-CN"/>
              </w:rPr>
              <w:t>建设单位委托有资质的监</w:t>
            </w:r>
            <w:r>
              <w:rPr>
                <w:rFonts w:hint="default" w:ascii="Times New Roman" w:hAnsi="Times New Roman" w:eastAsia="宋体" w:cs="Times New Roman"/>
                <w:color w:val="auto"/>
                <w:kern w:val="0"/>
                <w:szCs w:val="21"/>
                <w:highlight w:val="none"/>
                <w:lang w:val="en-US" w:eastAsia="zh-CN"/>
              </w:rPr>
              <w:t>测机构承担日常环境监测，监测的采样分析方法全部按照国家环保总局制定的操作规范进行。根据</w:t>
            </w:r>
            <w:r>
              <w:rPr>
                <w:rFonts w:hint="default" w:ascii="Times New Roman" w:hAnsi="Times New Roman" w:cs="Times New Roman"/>
                <w:color w:val="auto"/>
                <w:lang w:val="en-US" w:eastAsia="zh-CN"/>
              </w:rPr>
              <w:t>《排污单位自行监测技术指南  总则》（HJ 819-2017）</w:t>
            </w:r>
            <w:r>
              <w:rPr>
                <w:rFonts w:hint="default" w:ascii="Times New Roman" w:hAnsi="Times New Roman" w:eastAsia="宋体" w:cs="Times New Roman"/>
                <w:color w:val="auto"/>
                <w:kern w:val="0"/>
                <w:szCs w:val="21"/>
                <w:highlight w:val="none"/>
                <w:lang w:val="en-US" w:eastAsia="zh-CN"/>
              </w:rPr>
              <w:t>，环境监测计划详见表</w:t>
            </w:r>
            <w:r>
              <w:rPr>
                <w:rFonts w:hint="eastAsia" w:cs="Times New Roman"/>
                <w:color w:val="auto"/>
                <w:kern w:val="0"/>
                <w:szCs w:val="21"/>
                <w:highlight w:val="none"/>
                <w:lang w:val="en-US" w:eastAsia="zh-CN"/>
              </w:rPr>
              <w:t>4-8</w:t>
            </w:r>
            <w:r>
              <w:rPr>
                <w:rFonts w:hint="default" w:ascii="Times New Roman" w:hAnsi="Times New Roman" w:eastAsia="宋体" w:cs="Times New Roman"/>
                <w:color w:val="auto"/>
                <w:kern w:val="0"/>
                <w:szCs w:val="21"/>
                <w:highlight w:val="none"/>
                <w:lang w:val="en-US" w:eastAsia="zh-CN"/>
              </w:rPr>
              <w:t>。</w:t>
            </w:r>
          </w:p>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表</w:t>
            </w:r>
            <w:r>
              <w:rPr>
                <w:rFonts w:hint="eastAsia" w:cs="Times New Roman"/>
                <w:color w:val="auto"/>
                <w:kern w:val="0"/>
                <w:szCs w:val="21"/>
                <w:highlight w:val="none"/>
                <w:lang w:val="en-US" w:eastAsia="zh-CN"/>
              </w:rPr>
              <w:t>4-8</w:t>
            </w:r>
            <w:r>
              <w:rPr>
                <w:rFonts w:hint="default" w:ascii="Times New Roman" w:hAnsi="Times New Roman" w:eastAsia="宋体" w:cs="Times New Roman"/>
                <w:color w:val="auto"/>
                <w:kern w:val="0"/>
                <w:szCs w:val="21"/>
                <w:highlight w:val="none"/>
                <w:lang w:val="en-US" w:eastAsia="zh-CN"/>
              </w:rPr>
              <w:t xml:space="preserve">  营运期污染源监测计划表</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3158"/>
              <w:gridCol w:w="1222"/>
              <w:gridCol w:w="1223"/>
              <w:gridCol w:w="12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15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阶段</w:t>
                  </w:r>
                </w:p>
              </w:tc>
              <w:tc>
                <w:tcPr>
                  <w:tcW w:w="27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污染源</w:t>
                  </w:r>
                </w:p>
              </w:tc>
              <w:tc>
                <w:tcPr>
                  <w:tcW w:w="105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监测位置</w:t>
                  </w:r>
                </w:p>
              </w:tc>
              <w:tc>
                <w:tcPr>
                  <w:tcW w:w="106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监测项目</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监测频率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15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营运期</w:t>
                  </w:r>
                </w:p>
              </w:tc>
              <w:tc>
                <w:tcPr>
                  <w:tcW w:w="27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sz w:val="21"/>
                      <w:szCs w:val="21"/>
                      <w:lang w:val="en-US" w:eastAsia="zh-CN"/>
                    </w:rPr>
                    <w:t>拌料机、上料机、挤出机、牵引机、印花机</w:t>
                  </w:r>
                  <w:r>
                    <w:rPr>
                      <w:rFonts w:hint="default" w:ascii="Times New Roman" w:hAnsi="Times New Roman" w:eastAsia="宋体" w:cs="Times New Roman"/>
                      <w:sz w:val="21"/>
                      <w:szCs w:val="21"/>
                      <w:lang w:val="en-US" w:eastAsia="zh-CN"/>
                    </w:rPr>
                    <w:t>及风机</w:t>
                  </w:r>
                  <w:r>
                    <w:rPr>
                      <w:rFonts w:hint="default" w:ascii="Times New Roman" w:hAnsi="Times New Roman" w:cs="Times New Roman"/>
                      <w:bCs/>
                      <w:color w:val="auto"/>
                      <w:sz w:val="21"/>
                      <w:szCs w:val="21"/>
                      <w:lang w:val="en-US" w:eastAsia="zh-CN"/>
                    </w:rPr>
                    <w:t>等</w:t>
                  </w:r>
                </w:p>
              </w:tc>
              <w:tc>
                <w:tcPr>
                  <w:tcW w:w="105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w:t>
                  </w:r>
                </w:p>
              </w:tc>
              <w:tc>
                <w:tcPr>
                  <w:tcW w:w="106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等效声级</w:t>
                  </w:r>
                </w:p>
              </w:tc>
              <w:tc>
                <w:tcPr>
                  <w:tcW w:w="111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季度</w:t>
                  </w:r>
                </w:p>
              </w:tc>
            </w:tr>
          </w:tbl>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4.固体废物</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4.1固体废物源强核算</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（1）一般工业固体废物</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eastAsia" w:cs="Times New Roman"/>
                <w:kern w:val="0"/>
                <w:szCs w:val="21"/>
                <w:highlight w:val="none"/>
                <w:lang w:val="en-US" w:eastAsia="zh-CN"/>
              </w:rPr>
              <w:t>拟建项目次品率较低，产生的少量次品可直接回收至生产线进行重新熔融。因此，</w:t>
            </w:r>
            <w:r>
              <w:rPr>
                <w:rFonts w:hint="default" w:ascii="Times New Roman" w:hAnsi="Times New Roman" w:cs="Times New Roman"/>
                <w:kern w:val="0"/>
                <w:szCs w:val="21"/>
                <w:highlight w:val="none"/>
                <w:lang w:val="en-US" w:eastAsia="zh-CN"/>
              </w:rPr>
              <w:t>拟建项</w:t>
            </w:r>
            <w:r>
              <w:rPr>
                <w:rFonts w:hint="default" w:ascii="Times New Roman" w:hAnsi="Times New Roman" w:eastAsia="宋体" w:cs="Times New Roman"/>
                <w:kern w:val="0"/>
                <w:szCs w:val="21"/>
                <w:highlight w:val="none"/>
                <w:lang w:val="en-US" w:eastAsia="zh-CN"/>
              </w:rPr>
              <w:t>目</w:t>
            </w:r>
            <w:r>
              <w:rPr>
                <w:rFonts w:hint="default" w:ascii="Times New Roman" w:hAnsi="Times New Roman" w:cs="Times New Roman"/>
                <w:kern w:val="0"/>
                <w:szCs w:val="21"/>
                <w:highlight w:val="none"/>
                <w:lang w:val="en-US" w:eastAsia="zh-CN"/>
              </w:rPr>
              <w:t>在运行期间</w:t>
            </w:r>
            <w:r>
              <w:rPr>
                <w:rFonts w:hint="eastAsia" w:cs="Times New Roman"/>
                <w:kern w:val="0"/>
                <w:szCs w:val="21"/>
                <w:highlight w:val="none"/>
                <w:lang w:val="en-US" w:eastAsia="zh-CN"/>
              </w:rPr>
              <w:t>仅</w:t>
            </w:r>
            <w:r>
              <w:rPr>
                <w:rFonts w:hint="default" w:ascii="Times New Roman" w:hAnsi="Times New Roman" w:cs="Times New Roman"/>
                <w:kern w:val="0"/>
                <w:szCs w:val="21"/>
                <w:highlight w:val="none"/>
                <w:lang w:val="en-US" w:eastAsia="zh-CN"/>
              </w:rPr>
              <w:t>产生</w:t>
            </w:r>
            <w:r>
              <w:rPr>
                <w:rFonts w:hint="default" w:ascii="Times New Roman" w:hAnsi="Times New Roman" w:eastAsia="宋体" w:cs="Times New Roman"/>
                <w:kern w:val="0"/>
                <w:szCs w:val="21"/>
                <w:highlight w:val="none"/>
                <w:lang w:val="en-US" w:eastAsia="zh-CN"/>
              </w:rPr>
              <w:t>的</w:t>
            </w:r>
            <w:r>
              <w:rPr>
                <w:rFonts w:hint="default" w:ascii="Times New Roman" w:hAnsi="Times New Roman" w:cs="Times New Roman"/>
                <w:kern w:val="0"/>
                <w:szCs w:val="21"/>
                <w:highlight w:val="none"/>
                <w:lang w:val="en-US" w:eastAsia="zh-CN"/>
              </w:rPr>
              <w:t>废包装袋</w:t>
            </w:r>
            <w:r>
              <w:rPr>
                <w:rFonts w:hint="default" w:ascii="Times New Roman" w:hAnsi="Times New Roman" w:eastAsia="宋体" w:cs="Times New Roman"/>
                <w:kern w:val="0"/>
                <w:szCs w:val="21"/>
                <w:highlight w:val="none"/>
                <w:lang w:val="en-US" w:eastAsia="zh-CN"/>
              </w:rPr>
              <w:t>，</w:t>
            </w:r>
            <w:r>
              <w:rPr>
                <w:rFonts w:hint="default" w:ascii="Times New Roman" w:hAnsi="Times New Roman" w:cs="Times New Roman"/>
                <w:kern w:val="0"/>
                <w:szCs w:val="21"/>
                <w:highlight w:val="none"/>
                <w:lang w:val="en-US" w:eastAsia="zh-CN"/>
              </w:rPr>
              <w:t>约</w:t>
            </w:r>
            <w:r>
              <w:rPr>
                <w:rFonts w:hint="default" w:ascii="Times New Roman" w:hAnsi="Times New Roman" w:eastAsia="宋体" w:cs="Times New Roman"/>
                <w:kern w:val="0"/>
                <w:szCs w:val="21"/>
                <w:highlight w:val="none"/>
                <w:lang w:val="en-US" w:eastAsia="zh-CN"/>
              </w:rPr>
              <w:t>0.</w:t>
            </w:r>
            <w:r>
              <w:rPr>
                <w:rFonts w:hint="default" w:ascii="Times New Roman" w:hAnsi="Times New Roman" w:cs="Times New Roman"/>
                <w:kern w:val="0"/>
                <w:szCs w:val="21"/>
                <w:highlight w:val="none"/>
                <w:lang w:val="en-US" w:eastAsia="zh-CN"/>
              </w:rPr>
              <w:t>5</w:t>
            </w:r>
            <w:r>
              <w:rPr>
                <w:rFonts w:hint="default" w:ascii="Times New Roman" w:hAnsi="Times New Roman" w:eastAsia="宋体" w:cs="Times New Roman"/>
                <w:kern w:val="0"/>
                <w:szCs w:val="21"/>
                <w:highlight w:val="none"/>
                <w:lang w:val="en-US" w:eastAsia="zh-CN"/>
              </w:rPr>
              <w:t>t/a，由废品回收单位回收利用。</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jc w:val="center"/>
              <w:textAlignment w:val="auto"/>
              <w:outlineLvl w:val="9"/>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表4-</w:t>
            </w:r>
            <w:r>
              <w:rPr>
                <w:rFonts w:hint="eastAsia" w:cs="Times New Roman"/>
                <w:color w:val="auto"/>
                <w:highlight w:val="none"/>
                <w:lang w:val="en-US" w:eastAsia="zh-CN"/>
              </w:rPr>
              <w:t>9</w:t>
            </w:r>
            <w:r>
              <w:rPr>
                <w:rFonts w:hint="default" w:ascii="Times New Roman" w:hAnsi="Times New Roman" w:eastAsia="宋体" w:cs="Times New Roman"/>
                <w:color w:val="auto"/>
                <w:highlight w:val="none"/>
                <w:lang w:val="en-US" w:eastAsia="zh-CN"/>
              </w:rPr>
              <w:t xml:space="preserve">  </w:t>
            </w:r>
            <w:r>
              <w:rPr>
                <w:rFonts w:hint="eastAsia" w:cs="Times New Roman"/>
                <w:color w:val="auto"/>
                <w:highlight w:val="none"/>
                <w:lang w:val="en-US" w:eastAsia="zh-CN"/>
              </w:rPr>
              <w:t>拟建</w:t>
            </w:r>
            <w:r>
              <w:rPr>
                <w:rFonts w:hint="default" w:ascii="Times New Roman" w:hAnsi="Times New Roman" w:eastAsia="宋体" w:cs="Times New Roman"/>
                <w:color w:val="auto"/>
                <w:highlight w:val="none"/>
                <w:lang w:val="en-US" w:eastAsia="zh-CN"/>
              </w:rPr>
              <w:t>项目一般工业固废产生情况表</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06"/>
              <w:gridCol w:w="1780"/>
              <w:gridCol w:w="2137"/>
              <w:gridCol w:w="17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4"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编号</w:t>
                  </w:r>
                </w:p>
              </w:tc>
              <w:tc>
                <w:tcPr>
                  <w:tcW w:w="976"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类别</w:t>
                  </w:r>
                </w:p>
              </w:tc>
              <w:tc>
                <w:tcPr>
                  <w:tcW w:w="1081"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详细组成</w:t>
                  </w:r>
                </w:p>
              </w:tc>
              <w:tc>
                <w:tcPr>
                  <w:tcW w:w="1299"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一般固废编码</w:t>
                  </w:r>
                </w:p>
              </w:tc>
              <w:tc>
                <w:tcPr>
                  <w:tcW w:w="1068"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产生量（t/a）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4"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S</w:t>
                  </w:r>
                  <w:r>
                    <w:rPr>
                      <w:rFonts w:hint="eastAsia" w:cs="Times New Roman"/>
                      <w:color w:val="auto"/>
                      <w:kern w:val="0"/>
                      <w:sz w:val="21"/>
                      <w:szCs w:val="21"/>
                      <w:lang w:val="en-US" w:eastAsia="zh-CN" w:bidi="ar-SA"/>
                    </w:rPr>
                    <w:t>1</w:t>
                  </w:r>
                </w:p>
              </w:tc>
              <w:tc>
                <w:tcPr>
                  <w:tcW w:w="976"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一般工业固废</w:t>
                  </w:r>
                </w:p>
              </w:tc>
              <w:tc>
                <w:tcPr>
                  <w:tcW w:w="1081"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废包装袋</w:t>
                  </w:r>
                </w:p>
              </w:tc>
              <w:tc>
                <w:tcPr>
                  <w:tcW w:w="1299"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29</w:t>
                  </w:r>
                  <w:r>
                    <w:rPr>
                      <w:rFonts w:hint="eastAsia" w:cs="Times New Roman"/>
                      <w:color w:val="auto"/>
                      <w:kern w:val="0"/>
                      <w:sz w:val="21"/>
                      <w:szCs w:val="21"/>
                      <w:lang w:val="en-US" w:eastAsia="zh-CN" w:bidi="ar-SA"/>
                    </w:rPr>
                    <w:t>2</w:t>
                  </w:r>
                  <w:r>
                    <w:rPr>
                      <w:rFonts w:hint="default" w:ascii="Times New Roman" w:hAnsi="Times New Roman" w:eastAsia="宋体" w:cs="Times New Roman"/>
                      <w:color w:val="auto"/>
                      <w:kern w:val="0"/>
                      <w:sz w:val="21"/>
                      <w:szCs w:val="21"/>
                      <w:lang w:val="en-US" w:eastAsia="zh-CN" w:bidi="ar-SA"/>
                    </w:rPr>
                    <w:t>-00</w:t>
                  </w:r>
                  <w:r>
                    <w:rPr>
                      <w:rFonts w:hint="eastAsia" w:cs="Times New Roman"/>
                      <w:color w:val="auto"/>
                      <w:kern w:val="0"/>
                      <w:sz w:val="21"/>
                      <w:szCs w:val="21"/>
                      <w:lang w:val="en-US" w:eastAsia="zh-CN" w:bidi="ar-SA"/>
                    </w:rPr>
                    <w:t>1</w:t>
                  </w:r>
                  <w:r>
                    <w:rPr>
                      <w:rFonts w:hint="default" w:ascii="Times New Roman" w:hAnsi="Times New Roman" w:eastAsia="宋体" w:cs="Times New Roman"/>
                      <w:color w:val="auto"/>
                      <w:kern w:val="0"/>
                      <w:sz w:val="21"/>
                      <w:szCs w:val="21"/>
                      <w:lang w:val="en-US" w:eastAsia="zh-CN" w:bidi="ar-SA"/>
                    </w:rPr>
                    <w:t>-</w:t>
                  </w:r>
                  <w:r>
                    <w:rPr>
                      <w:rFonts w:hint="eastAsia" w:cs="Times New Roman"/>
                      <w:color w:val="auto"/>
                      <w:kern w:val="0"/>
                      <w:sz w:val="21"/>
                      <w:szCs w:val="21"/>
                      <w:lang w:val="en-US" w:eastAsia="zh-CN" w:bidi="ar-SA"/>
                    </w:rPr>
                    <w:t>07</w:t>
                  </w:r>
                </w:p>
              </w:tc>
              <w:tc>
                <w:tcPr>
                  <w:tcW w:w="1068" w:type="pc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0.5</w:t>
                  </w:r>
                </w:p>
              </w:tc>
            </w:tr>
          </w:tbl>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（2）危险固体废物</w:t>
            </w:r>
          </w:p>
          <w:p>
            <w:pPr>
              <w:spacing w:line="360" w:lineRule="auto"/>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0000FF"/>
                <w:kern w:val="0"/>
                <w:szCs w:val="21"/>
                <w:highlight w:val="none"/>
                <w:lang w:val="en-US" w:eastAsia="zh-CN"/>
              </w:rPr>
              <w:t>拟建</w:t>
            </w:r>
            <w:r>
              <w:rPr>
                <w:rFonts w:hint="default" w:ascii="Times New Roman" w:hAnsi="Times New Roman" w:eastAsia="宋体" w:cs="Times New Roman"/>
                <w:color w:val="0000FF"/>
                <w:kern w:val="0"/>
                <w:szCs w:val="21"/>
                <w:highlight w:val="none"/>
                <w:lang w:val="en-US" w:eastAsia="zh-CN"/>
              </w:rPr>
              <w:t>项目</w:t>
            </w:r>
            <w:r>
              <w:rPr>
                <w:rFonts w:hint="eastAsia" w:cs="Times New Roman"/>
                <w:color w:val="0000FF"/>
                <w:kern w:val="0"/>
                <w:szCs w:val="21"/>
                <w:highlight w:val="none"/>
                <w:lang w:val="en-US" w:eastAsia="zh-CN"/>
              </w:rPr>
              <w:t>使用的润滑油添加入生产设备后直接消耗，不进行换油等，因此无更换产生的废油，</w:t>
            </w:r>
            <w:r>
              <w:rPr>
                <w:rFonts w:hint="default" w:ascii="Times New Roman" w:hAnsi="Times New Roman" w:eastAsia="宋体" w:cs="Times New Roman"/>
                <w:kern w:val="0"/>
                <w:szCs w:val="21"/>
                <w:highlight w:val="none"/>
                <w:lang w:val="en-US" w:eastAsia="zh-CN"/>
              </w:rPr>
              <w:t>产生的危险废物</w:t>
            </w:r>
            <w:r>
              <w:rPr>
                <w:rFonts w:hint="eastAsia" w:cs="Times New Roman"/>
                <w:kern w:val="0"/>
                <w:szCs w:val="21"/>
                <w:highlight w:val="none"/>
                <w:lang w:val="en-US" w:eastAsia="zh-CN"/>
              </w:rPr>
              <w:t>为</w:t>
            </w:r>
            <w:r>
              <w:rPr>
                <w:rFonts w:hint="default" w:ascii="Times New Roman" w:hAnsi="Times New Roman" w:eastAsia="宋体" w:cs="Times New Roman"/>
                <w:color w:val="auto"/>
                <w:kern w:val="0"/>
                <w:szCs w:val="21"/>
                <w:highlight w:val="none"/>
                <w:lang w:val="en-US" w:eastAsia="zh-CN"/>
              </w:rPr>
              <w:t>废活性炭</w:t>
            </w:r>
            <w:r>
              <w:rPr>
                <w:rFonts w:hint="default" w:ascii="Times New Roman" w:hAnsi="Times New Roman" w:cs="Times New Roman"/>
                <w:color w:val="auto"/>
                <w:kern w:val="0"/>
                <w:szCs w:val="21"/>
                <w:highlight w:val="none"/>
                <w:lang w:val="en-US" w:eastAsia="zh-CN"/>
              </w:rPr>
              <w:t>S</w:t>
            </w:r>
            <w:r>
              <w:rPr>
                <w:rFonts w:hint="eastAsia" w:cs="Times New Roman"/>
                <w:color w:val="auto"/>
                <w:kern w:val="0"/>
                <w:szCs w:val="21"/>
                <w:highlight w:val="none"/>
                <w:lang w:val="en-US" w:eastAsia="zh-CN"/>
              </w:rPr>
              <w:t>2及废紫外灯管</w:t>
            </w:r>
            <w:r>
              <w:rPr>
                <w:rFonts w:hint="default" w:ascii="Times New Roman" w:hAnsi="Times New Roman" w:cs="Times New Roman"/>
                <w:color w:val="auto"/>
                <w:kern w:val="0"/>
                <w:szCs w:val="21"/>
                <w:highlight w:val="none"/>
                <w:lang w:val="en-US" w:eastAsia="zh-CN"/>
              </w:rPr>
              <w:t>S</w:t>
            </w:r>
            <w:r>
              <w:rPr>
                <w:rFonts w:hint="eastAsia" w:cs="Times New Roman"/>
                <w:color w:val="auto"/>
                <w:kern w:val="0"/>
                <w:szCs w:val="21"/>
                <w:highlight w:val="none"/>
                <w:lang w:val="en-US" w:eastAsia="zh-CN"/>
              </w:rPr>
              <w:t>3</w:t>
            </w:r>
            <w:r>
              <w:rPr>
                <w:rFonts w:hint="default" w:ascii="Times New Roman" w:hAnsi="Times New Roman" w:eastAsia="宋体" w:cs="Times New Roman"/>
                <w:color w:val="auto"/>
                <w:kern w:val="0"/>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20" w:firstLineChars="200"/>
              <w:jc w:val="center"/>
              <w:textAlignment w:val="auto"/>
              <w:outlineLvl w:val="9"/>
              <w:rPr>
                <w:rFonts w:hint="default" w:ascii="Times New Roman" w:hAnsi="Times New Roman" w:cs="Times New Roman"/>
                <w:color w:val="auto"/>
                <w:sz w:val="24"/>
              </w:rPr>
            </w:pPr>
            <w:r>
              <w:rPr>
                <w:rFonts w:hint="default" w:ascii="Times New Roman" w:hAnsi="Times New Roman" w:cs="Times New Roman"/>
                <w:color w:val="auto"/>
                <w:highlight w:val="none"/>
                <w:lang w:val="en-US" w:eastAsia="zh-CN"/>
              </w:rPr>
              <w:t>表4-</w:t>
            </w:r>
            <w:r>
              <w:rPr>
                <w:rFonts w:hint="eastAsia" w:cs="Times New Roman"/>
                <w:color w:val="auto"/>
                <w:highlight w:val="none"/>
                <w:lang w:val="en-US" w:eastAsia="zh-CN"/>
              </w:rPr>
              <w:t>10</w:t>
            </w:r>
            <w:r>
              <w:rPr>
                <w:rFonts w:hint="default" w:ascii="Times New Roman" w:hAnsi="Times New Roman" w:cs="Times New Roman"/>
                <w:color w:val="auto"/>
                <w:highlight w:val="none"/>
                <w:lang w:val="en-US" w:eastAsia="zh-CN"/>
              </w:rPr>
              <w:t xml:space="preserve">  </w:t>
            </w:r>
            <w:r>
              <w:rPr>
                <w:rFonts w:hint="eastAsia" w:cs="Times New Roman"/>
                <w:color w:val="auto"/>
                <w:highlight w:val="none"/>
                <w:lang w:val="en-US" w:eastAsia="zh-CN"/>
              </w:rPr>
              <w:t>拟建</w:t>
            </w:r>
            <w:r>
              <w:rPr>
                <w:rFonts w:hint="default" w:ascii="Times New Roman" w:hAnsi="Times New Roman" w:cs="Times New Roman"/>
                <w:color w:val="auto"/>
                <w:highlight w:val="none"/>
                <w:lang w:val="en-US" w:eastAsia="zh-CN"/>
              </w:rPr>
              <w:t>项目危险废物产排污情况表</w:t>
            </w:r>
          </w:p>
          <w:tbl>
            <w:tblPr>
              <w:tblStyle w:val="20"/>
              <w:tblW w:w="822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1"/>
              <w:gridCol w:w="648"/>
              <w:gridCol w:w="672"/>
              <w:gridCol w:w="711"/>
              <w:gridCol w:w="603"/>
              <w:gridCol w:w="643"/>
              <w:gridCol w:w="441"/>
              <w:gridCol w:w="428"/>
              <w:gridCol w:w="703"/>
              <w:gridCol w:w="464"/>
              <w:gridCol w:w="643"/>
              <w:gridCol w:w="1166"/>
              <w:gridCol w:w="7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序号</w:t>
                  </w:r>
                </w:p>
              </w:tc>
              <w:tc>
                <w:tcPr>
                  <w:tcW w:w="648"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废物名称</w:t>
                  </w:r>
                </w:p>
              </w:tc>
              <w:tc>
                <w:tcPr>
                  <w:tcW w:w="672"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废物</w:t>
                  </w:r>
                </w:p>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类别</w:t>
                  </w:r>
                </w:p>
              </w:tc>
              <w:tc>
                <w:tcPr>
                  <w:tcW w:w="71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废物代码</w:t>
                  </w:r>
                </w:p>
              </w:tc>
              <w:tc>
                <w:tcPr>
                  <w:tcW w:w="60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产生量</w:t>
                  </w:r>
                </w:p>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t/a</w:t>
                  </w:r>
                  <w:r>
                    <w:rPr>
                      <w:rFonts w:hint="eastAsia" w:ascii="Times New Roman" w:hAnsi="Times New Roman" w:eastAsia="宋体" w:cs="Times New Roman"/>
                      <w:color w:val="auto"/>
                      <w:kern w:val="0"/>
                      <w:sz w:val="21"/>
                      <w:szCs w:val="21"/>
                      <w:lang w:val="en-US" w:eastAsia="zh-CN" w:bidi="ar-SA"/>
                    </w:rPr>
                    <w:t>)</w:t>
                  </w:r>
                </w:p>
              </w:tc>
              <w:tc>
                <w:tcPr>
                  <w:tcW w:w="64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产生</w:t>
                  </w:r>
                  <w:r>
                    <w:rPr>
                      <w:rFonts w:hint="eastAsia" w:ascii="Times New Roman" w:hAnsi="Times New Roman" w:eastAsia="宋体" w:cs="Times New Roman"/>
                      <w:color w:val="auto"/>
                      <w:kern w:val="0"/>
                      <w:sz w:val="21"/>
                      <w:szCs w:val="21"/>
                      <w:lang w:val="en-US" w:eastAsia="zh-CN" w:bidi="ar-SA"/>
                    </w:rPr>
                    <w:t>环节</w:t>
                  </w:r>
                  <w:r>
                    <w:rPr>
                      <w:rFonts w:hint="default" w:ascii="Times New Roman" w:hAnsi="Times New Roman" w:eastAsia="宋体" w:cs="Times New Roman"/>
                      <w:color w:val="auto"/>
                      <w:kern w:val="0"/>
                      <w:sz w:val="21"/>
                      <w:szCs w:val="21"/>
                      <w:lang w:val="en-US" w:eastAsia="zh-CN" w:bidi="ar-SA"/>
                    </w:rPr>
                    <w:t>及装置</w:t>
                  </w:r>
                </w:p>
              </w:tc>
              <w:tc>
                <w:tcPr>
                  <w:tcW w:w="44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形态</w:t>
                  </w:r>
                </w:p>
              </w:tc>
              <w:tc>
                <w:tcPr>
                  <w:tcW w:w="428"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主要成分</w:t>
                  </w:r>
                </w:p>
              </w:tc>
              <w:tc>
                <w:tcPr>
                  <w:tcW w:w="70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有害成分</w:t>
                  </w:r>
                </w:p>
              </w:tc>
              <w:tc>
                <w:tcPr>
                  <w:tcW w:w="464"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产废周期</w:t>
                  </w:r>
                </w:p>
              </w:tc>
              <w:tc>
                <w:tcPr>
                  <w:tcW w:w="64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危险</w:t>
                  </w:r>
                </w:p>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特性</w:t>
                  </w:r>
                </w:p>
              </w:tc>
              <w:tc>
                <w:tcPr>
                  <w:tcW w:w="1166"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污染防治措施</w:t>
                  </w:r>
                </w:p>
              </w:tc>
              <w:tc>
                <w:tcPr>
                  <w:tcW w:w="75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核算依据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1</w:t>
                  </w:r>
                </w:p>
              </w:tc>
              <w:tc>
                <w:tcPr>
                  <w:tcW w:w="648"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废活性炭</w:t>
                  </w:r>
                </w:p>
              </w:tc>
              <w:tc>
                <w:tcPr>
                  <w:tcW w:w="672"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危险</w:t>
                  </w:r>
                </w:p>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废物HW49</w:t>
                  </w:r>
                </w:p>
              </w:tc>
              <w:tc>
                <w:tcPr>
                  <w:tcW w:w="71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900-047-49</w:t>
                  </w:r>
                </w:p>
              </w:tc>
              <w:tc>
                <w:tcPr>
                  <w:tcW w:w="60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3</w:t>
                  </w:r>
                </w:p>
              </w:tc>
              <w:tc>
                <w:tcPr>
                  <w:tcW w:w="64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废气装置</w:t>
                  </w:r>
                </w:p>
              </w:tc>
              <w:tc>
                <w:tcPr>
                  <w:tcW w:w="44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固态</w:t>
                  </w:r>
                </w:p>
              </w:tc>
              <w:tc>
                <w:tcPr>
                  <w:tcW w:w="428"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非甲烷总烃</w:t>
                  </w:r>
                </w:p>
              </w:tc>
              <w:tc>
                <w:tcPr>
                  <w:tcW w:w="70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非甲烷总烃</w:t>
                  </w:r>
                </w:p>
              </w:tc>
              <w:tc>
                <w:tcPr>
                  <w:tcW w:w="464"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每年</w:t>
                  </w:r>
                </w:p>
              </w:tc>
              <w:tc>
                <w:tcPr>
                  <w:tcW w:w="64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T/In</w:t>
                  </w:r>
                </w:p>
              </w:tc>
              <w:tc>
                <w:tcPr>
                  <w:tcW w:w="1166" w:type="dxa"/>
                  <w:vMerge w:val="restart"/>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暂存危废间，交由有危废处理资质的单位进行处置</w:t>
                  </w:r>
                </w:p>
              </w:tc>
              <w:tc>
                <w:tcPr>
                  <w:tcW w:w="75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活性炭纤维吸附效率250g/kg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bidi="ar-SA"/>
                    </w:rPr>
                    <w:t>2</w:t>
                  </w:r>
                </w:p>
              </w:tc>
              <w:tc>
                <w:tcPr>
                  <w:tcW w:w="648"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eastAsia" w:ascii="Times New Roman" w:hAnsi="Times New Roman" w:eastAsia="宋体" w:cs="Times New Roman"/>
                      <w:color w:val="0000FF"/>
                      <w:kern w:val="0"/>
                      <w:sz w:val="21"/>
                      <w:szCs w:val="21"/>
                      <w:lang w:val="en-US" w:eastAsia="zh-CN" w:bidi="ar-SA"/>
                    </w:rPr>
                    <w:t>废紫外灯管</w:t>
                  </w:r>
                </w:p>
              </w:tc>
              <w:tc>
                <w:tcPr>
                  <w:tcW w:w="672"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eastAsia="宋体" w:cs="Times New Roman"/>
                      <w:color w:val="0000FF"/>
                      <w:kern w:val="0"/>
                      <w:sz w:val="21"/>
                      <w:szCs w:val="21"/>
                      <w:lang w:val="en-US" w:eastAsia="zh-CN" w:bidi="ar-SA"/>
                    </w:rPr>
                    <w:t>危险</w:t>
                  </w:r>
                </w:p>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eastAsia="宋体" w:cs="Times New Roman"/>
                      <w:color w:val="0000FF"/>
                      <w:kern w:val="0"/>
                      <w:sz w:val="21"/>
                      <w:szCs w:val="21"/>
                      <w:lang w:val="en-US" w:eastAsia="zh-CN" w:bidi="ar-SA"/>
                    </w:rPr>
                    <w:t>废物HW</w:t>
                  </w:r>
                  <w:r>
                    <w:rPr>
                      <w:rFonts w:hint="eastAsia" w:ascii="Times New Roman" w:hAnsi="Times New Roman" w:eastAsia="宋体" w:cs="Times New Roman"/>
                      <w:color w:val="0000FF"/>
                      <w:kern w:val="0"/>
                      <w:sz w:val="21"/>
                      <w:szCs w:val="21"/>
                      <w:lang w:val="en-US" w:eastAsia="zh-CN" w:bidi="ar-SA"/>
                    </w:rPr>
                    <w:t>29</w:t>
                  </w:r>
                </w:p>
              </w:tc>
              <w:tc>
                <w:tcPr>
                  <w:tcW w:w="71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eastAsia="宋体" w:cs="Times New Roman"/>
                      <w:color w:val="0000FF"/>
                      <w:kern w:val="0"/>
                      <w:sz w:val="21"/>
                      <w:szCs w:val="21"/>
                      <w:lang w:val="en-US" w:eastAsia="zh-CN" w:bidi="ar-SA"/>
                    </w:rPr>
                    <w:t>900-023-29</w:t>
                  </w:r>
                </w:p>
              </w:tc>
              <w:tc>
                <w:tcPr>
                  <w:tcW w:w="60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eastAsia" w:ascii="Times New Roman" w:hAnsi="Times New Roman" w:eastAsia="宋体" w:cs="Times New Roman"/>
                      <w:color w:val="0000FF"/>
                      <w:kern w:val="0"/>
                      <w:sz w:val="21"/>
                      <w:szCs w:val="21"/>
                      <w:lang w:val="en-US" w:eastAsia="zh-CN" w:bidi="ar-SA"/>
                    </w:rPr>
                    <w:t>1</w:t>
                  </w:r>
                </w:p>
              </w:tc>
              <w:tc>
                <w:tcPr>
                  <w:tcW w:w="64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eastAsia="宋体" w:cs="Times New Roman"/>
                      <w:color w:val="0000FF"/>
                      <w:kern w:val="0"/>
                      <w:sz w:val="21"/>
                      <w:szCs w:val="21"/>
                      <w:lang w:val="en-US" w:eastAsia="zh-CN" w:bidi="ar-SA"/>
                    </w:rPr>
                    <w:t>废气装置</w:t>
                  </w:r>
                </w:p>
              </w:tc>
              <w:tc>
                <w:tcPr>
                  <w:tcW w:w="441"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eastAsia="宋体" w:cs="Times New Roman"/>
                      <w:color w:val="0000FF"/>
                      <w:kern w:val="0"/>
                      <w:sz w:val="21"/>
                      <w:szCs w:val="21"/>
                      <w:lang w:val="en-US" w:eastAsia="zh-CN" w:bidi="ar-SA"/>
                    </w:rPr>
                    <w:t>固态</w:t>
                  </w:r>
                </w:p>
              </w:tc>
              <w:tc>
                <w:tcPr>
                  <w:tcW w:w="428"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eastAsia" w:ascii="Times New Roman" w:hAnsi="Times New Roman" w:eastAsia="宋体" w:cs="Times New Roman"/>
                      <w:color w:val="0000FF"/>
                      <w:kern w:val="0"/>
                      <w:sz w:val="21"/>
                      <w:szCs w:val="21"/>
                      <w:lang w:val="en-US" w:eastAsia="zh-CN" w:bidi="ar-SA"/>
                    </w:rPr>
                    <w:t>/</w:t>
                  </w:r>
                </w:p>
              </w:tc>
              <w:tc>
                <w:tcPr>
                  <w:tcW w:w="70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eastAsia" w:ascii="Times New Roman" w:hAnsi="Times New Roman" w:eastAsia="宋体" w:cs="Times New Roman"/>
                      <w:color w:val="0000FF"/>
                      <w:kern w:val="0"/>
                      <w:sz w:val="21"/>
                      <w:szCs w:val="21"/>
                      <w:lang w:val="en-US" w:eastAsia="zh-CN" w:bidi="ar-SA"/>
                    </w:rPr>
                    <w:t>/</w:t>
                  </w:r>
                </w:p>
              </w:tc>
              <w:tc>
                <w:tcPr>
                  <w:tcW w:w="464"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eastAsia="宋体" w:cs="Times New Roman"/>
                      <w:color w:val="0000FF"/>
                      <w:kern w:val="0"/>
                      <w:sz w:val="21"/>
                      <w:szCs w:val="21"/>
                      <w:lang w:val="en-US" w:eastAsia="zh-CN" w:bidi="ar-SA"/>
                    </w:rPr>
                    <w:t>每年</w:t>
                  </w:r>
                </w:p>
              </w:tc>
              <w:tc>
                <w:tcPr>
                  <w:tcW w:w="64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FF"/>
                      <w:kern w:val="0"/>
                      <w:sz w:val="21"/>
                      <w:szCs w:val="21"/>
                      <w:lang w:val="en-US" w:eastAsia="zh-CN" w:bidi="ar-SA"/>
                    </w:rPr>
                  </w:pPr>
                  <w:r>
                    <w:rPr>
                      <w:rFonts w:hint="default" w:ascii="Times New Roman" w:hAnsi="Times New Roman" w:eastAsia="宋体" w:cs="Times New Roman"/>
                      <w:color w:val="0000FF"/>
                      <w:kern w:val="0"/>
                      <w:sz w:val="21"/>
                      <w:szCs w:val="21"/>
                      <w:lang w:val="en-US" w:eastAsia="zh-CN" w:bidi="ar-SA"/>
                    </w:rPr>
                    <w:t>T/In</w:t>
                  </w:r>
                </w:p>
              </w:tc>
              <w:tc>
                <w:tcPr>
                  <w:tcW w:w="1166" w:type="dxa"/>
                  <w:vMerge w:val="continue"/>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p>
              </w:tc>
              <w:tc>
                <w:tcPr>
                  <w:tcW w:w="753" w:type="dxa"/>
                  <w:tcBorders>
                    <w:tl2br w:val="nil"/>
                    <w:tr2bl w:val="nil"/>
                  </w:tcBorders>
                  <w:noWrap w:val="0"/>
                  <w:vAlign w:val="center"/>
                </w:tcPr>
                <w:p>
                  <w:pPr>
                    <w:keepNext w:val="0"/>
                    <w:keepLines w:val="0"/>
                    <w:pageBreakBefore w:val="0"/>
                    <w:widowControl w:val="0"/>
                    <w:kinsoku/>
                    <w:wordWrap/>
                    <w:overflowPunct/>
                    <w:topLinePunct/>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r>
          </w:tbl>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（3）生活垃圾</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日常生活垃圾按0.5kg/人.d计，厂区员工共计</w:t>
            </w:r>
            <w:r>
              <w:rPr>
                <w:rFonts w:hint="default" w:ascii="Times New Roman" w:hAnsi="Times New Roman" w:cs="Times New Roman"/>
                <w:kern w:val="0"/>
                <w:szCs w:val="21"/>
                <w:highlight w:val="none"/>
                <w:lang w:val="en-US" w:eastAsia="zh-CN"/>
              </w:rPr>
              <w:t>10</w:t>
            </w:r>
            <w:r>
              <w:rPr>
                <w:rFonts w:hint="default" w:ascii="Times New Roman" w:hAnsi="Times New Roman" w:eastAsia="宋体" w:cs="Times New Roman"/>
                <w:kern w:val="0"/>
                <w:szCs w:val="21"/>
                <w:highlight w:val="none"/>
                <w:lang w:val="en-US" w:eastAsia="zh-CN"/>
              </w:rPr>
              <w:t>人，产生量1.</w:t>
            </w:r>
            <w:r>
              <w:rPr>
                <w:rFonts w:hint="default" w:ascii="Times New Roman" w:hAnsi="Times New Roman" w:cs="Times New Roman"/>
                <w:kern w:val="0"/>
                <w:szCs w:val="21"/>
                <w:highlight w:val="none"/>
                <w:lang w:val="en-US" w:eastAsia="zh-CN"/>
              </w:rPr>
              <w:t>65</w:t>
            </w:r>
            <w:r>
              <w:rPr>
                <w:rFonts w:hint="default" w:ascii="Times New Roman" w:hAnsi="Times New Roman" w:eastAsia="宋体" w:cs="Times New Roman"/>
                <w:kern w:val="0"/>
                <w:szCs w:val="21"/>
                <w:highlight w:val="none"/>
                <w:lang w:val="en-US" w:eastAsia="zh-CN"/>
              </w:rPr>
              <w:t>t/a，由当地环卫部门收集处置。</w:t>
            </w:r>
          </w:p>
          <w:p>
            <w:pPr>
              <w:spacing w:line="360" w:lineRule="auto"/>
              <w:ind w:firstLine="420" w:firstLineChars="20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kern w:val="0"/>
                <w:szCs w:val="21"/>
                <w:highlight w:val="none"/>
                <w:lang w:val="en-US" w:eastAsia="zh-CN"/>
              </w:rPr>
              <w:t>拟建</w:t>
            </w:r>
            <w:r>
              <w:rPr>
                <w:rFonts w:hint="default" w:ascii="Times New Roman" w:hAnsi="Times New Roman" w:eastAsia="宋体" w:cs="Times New Roman"/>
                <w:kern w:val="0"/>
                <w:szCs w:val="21"/>
                <w:highlight w:val="none"/>
                <w:lang w:val="en-US" w:eastAsia="zh-CN"/>
              </w:rPr>
              <w:t>项目固废产生及处理</w:t>
            </w:r>
            <w:r>
              <w:rPr>
                <w:rFonts w:hint="default" w:ascii="Times New Roman" w:hAnsi="Times New Roman" w:eastAsia="宋体" w:cs="Times New Roman"/>
                <w:color w:val="auto"/>
                <w:kern w:val="0"/>
                <w:szCs w:val="21"/>
                <w:highlight w:val="none"/>
                <w:lang w:val="en-US" w:eastAsia="zh-CN"/>
              </w:rPr>
              <w:t>情况见表4-</w:t>
            </w:r>
            <w:r>
              <w:rPr>
                <w:rFonts w:hint="eastAsia" w:cs="Times New Roman"/>
                <w:color w:val="auto"/>
                <w:kern w:val="0"/>
                <w:szCs w:val="21"/>
                <w:highlight w:val="none"/>
                <w:lang w:val="en-US" w:eastAsia="zh-CN"/>
              </w:rPr>
              <w:t>11</w:t>
            </w:r>
            <w:r>
              <w:rPr>
                <w:rFonts w:hint="default" w:ascii="Times New Roman" w:hAnsi="Times New Roman" w:eastAsia="宋体" w:cs="Times New Roman"/>
                <w:color w:val="auto"/>
                <w:kern w:val="0"/>
                <w:szCs w:val="21"/>
                <w:highlight w:val="none"/>
                <w:lang w:val="en-US" w:eastAsia="zh-CN"/>
              </w:rPr>
              <w:t>。</w:t>
            </w:r>
          </w:p>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表4-</w:t>
            </w:r>
            <w:r>
              <w:rPr>
                <w:rFonts w:hint="eastAsia" w:cs="Times New Roman"/>
                <w:color w:val="auto"/>
                <w:kern w:val="0"/>
                <w:szCs w:val="21"/>
                <w:highlight w:val="none"/>
                <w:lang w:val="en-US" w:eastAsia="zh-CN"/>
              </w:rPr>
              <w:t>11</w:t>
            </w:r>
            <w:r>
              <w:rPr>
                <w:rFonts w:hint="default" w:ascii="Times New Roman" w:hAnsi="Times New Roman" w:eastAsia="宋体" w:cs="Times New Roman"/>
                <w:color w:val="auto"/>
                <w:kern w:val="0"/>
                <w:szCs w:val="21"/>
                <w:highlight w:val="none"/>
                <w:lang w:val="en-US" w:eastAsia="zh-CN"/>
              </w:rPr>
              <w:t xml:space="preserve">  </w:t>
            </w:r>
            <w:r>
              <w:rPr>
                <w:rFonts w:hint="eastAsia" w:cs="Times New Roman"/>
                <w:color w:val="auto"/>
                <w:kern w:val="0"/>
                <w:szCs w:val="21"/>
                <w:highlight w:val="none"/>
                <w:lang w:val="en-US" w:eastAsia="zh-CN"/>
              </w:rPr>
              <w:t>拟建</w:t>
            </w:r>
            <w:r>
              <w:rPr>
                <w:rFonts w:hint="default" w:ascii="Times New Roman" w:hAnsi="Times New Roman" w:eastAsia="宋体" w:cs="Times New Roman"/>
                <w:color w:val="auto"/>
                <w:kern w:val="0"/>
                <w:szCs w:val="21"/>
                <w:highlight w:val="none"/>
                <w:lang w:val="en-US" w:eastAsia="zh-CN"/>
              </w:rPr>
              <w:t>项目固废产生及处理情况表</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607"/>
              <w:gridCol w:w="530"/>
              <w:gridCol w:w="1229"/>
              <w:gridCol w:w="995"/>
              <w:gridCol w:w="556"/>
              <w:gridCol w:w="776"/>
              <w:gridCol w:w="1086"/>
              <w:gridCol w:w="1500"/>
              <w:gridCol w:w="9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0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工序/生产线</w:t>
                  </w:r>
                </w:p>
              </w:tc>
              <w:tc>
                <w:tcPr>
                  <w:tcW w:w="53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装置</w:t>
                  </w:r>
                </w:p>
              </w:tc>
              <w:tc>
                <w:tcPr>
                  <w:tcW w:w="122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固体废物名称</w:t>
                  </w:r>
                </w:p>
              </w:tc>
              <w:tc>
                <w:tcPr>
                  <w:tcW w:w="99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固废属性</w:t>
                  </w:r>
                </w:p>
              </w:tc>
              <w:tc>
                <w:tcPr>
                  <w:tcW w:w="1332"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产生情况</w:t>
                  </w:r>
                </w:p>
              </w:tc>
              <w:tc>
                <w:tcPr>
                  <w:tcW w:w="258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处置措施</w:t>
                  </w:r>
                </w:p>
              </w:tc>
              <w:tc>
                <w:tcPr>
                  <w:tcW w:w="94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最终去向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0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53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122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99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55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核算方法</w:t>
                  </w:r>
                </w:p>
              </w:tc>
              <w:tc>
                <w:tcPr>
                  <w:tcW w:w="7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产生量/（t/a）</w:t>
                  </w:r>
                </w:p>
              </w:tc>
              <w:tc>
                <w:tcPr>
                  <w:tcW w:w="108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工艺</w:t>
                  </w:r>
                </w:p>
              </w:tc>
              <w:tc>
                <w:tcPr>
                  <w:tcW w:w="15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处置量/（t/a）</w:t>
                  </w:r>
                </w:p>
              </w:tc>
              <w:tc>
                <w:tcPr>
                  <w:tcW w:w="94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0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PP生产线及PET生产线</w:t>
                  </w:r>
                </w:p>
              </w:tc>
              <w:tc>
                <w:tcPr>
                  <w:tcW w:w="53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生产设备</w:t>
                  </w:r>
                </w:p>
              </w:tc>
              <w:tc>
                <w:tcPr>
                  <w:tcW w:w="122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废包装袋</w:t>
                  </w:r>
                </w:p>
              </w:tc>
              <w:tc>
                <w:tcPr>
                  <w:tcW w:w="99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一般工业固废</w:t>
                  </w:r>
                </w:p>
              </w:tc>
              <w:tc>
                <w:tcPr>
                  <w:tcW w:w="55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物料平衡</w:t>
                  </w:r>
                </w:p>
              </w:tc>
              <w:tc>
                <w:tcPr>
                  <w:tcW w:w="7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0.5</w:t>
                  </w:r>
                </w:p>
              </w:tc>
              <w:tc>
                <w:tcPr>
                  <w:tcW w:w="108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回收利用</w:t>
                  </w:r>
                </w:p>
              </w:tc>
              <w:tc>
                <w:tcPr>
                  <w:tcW w:w="15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0.5</w:t>
                  </w:r>
                </w:p>
              </w:tc>
              <w:tc>
                <w:tcPr>
                  <w:tcW w:w="9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回收利用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0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53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环保设备</w:t>
                  </w:r>
                </w:p>
              </w:tc>
              <w:tc>
                <w:tcPr>
                  <w:tcW w:w="122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default" w:cs="Times New Roman"/>
                      <w:color w:val="0000FF"/>
                      <w:sz w:val="18"/>
                      <w:szCs w:val="18"/>
                      <w:lang w:val="en-US" w:eastAsia="zh-CN"/>
                    </w:rPr>
                    <w:t>废活性炭</w:t>
                  </w:r>
                </w:p>
              </w:tc>
              <w:tc>
                <w:tcPr>
                  <w:tcW w:w="99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危险废物</w:t>
                  </w:r>
                </w:p>
              </w:tc>
              <w:tc>
                <w:tcPr>
                  <w:tcW w:w="55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7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3</w:t>
                  </w:r>
                </w:p>
              </w:tc>
              <w:tc>
                <w:tcPr>
                  <w:tcW w:w="108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default" w:cs="Times New Roman"/>
                      <w:color w:val="0000FF"/>
                      <w:sz w:val="18"/>
                      <w:szCs w:val="18"/>
                      <w:lang w:val="en-US" w:eastAsia="zh-CN"/>
                    </w:rPr>
                    <w:t>危废处理资质单位</w:t>
                  </w:r>
                  <w:r>
                    <w:rPr>
                      <w:rFonts w:hint="eastAsia" w:cs="Times New Roman"/>
                      <w:color w:val="0000FF"/>
                      <w:sz w:val="18"/>
                      <w:szCs w:val="18"/>
                      <w:lang w:val="en-US" w:eastAsia="zh-CN"/>
                    </w:rPr>
                    <w:t>收集、</w:t>
                  </w:r>
                  <w:r>
                    <w:rPr>
                      <w:rFonts w:hint="default" w:cs="Times New Roman"/>
                      <w:color w:val="0000FF"/>
                      <w:sz w:val="18"/>
                      <w:szCs w:val="18"/>
                      <w:lang w:val="en-US" w:eastAsia="zh-CN"/>
                    </w:rPr>
                    <w:t>处置</w:t>
                  </w:r>
                </w:p>
              </w:tc>
              <w:tc>
                <w:tcPr>
                  <w:tcW w:w="15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3</w:t>
                  </w:r>
                </w:p>
              </w:tc>
              <w:tc>
                <w:tcPr>
                  <w:tcW w:w="94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default" w:cs="Times New Roman"/>
                      <w:color w:val="0000FF"/>
                      <w:sz w:val="18"/>
                      <w:szCs w:val="18"/>
                      <w:lang w:val="en-US" w:eastAsia="zh-CN"/>
                    </w:rPr>
                    <w:t>危废处理资质单位</w:t>
                  </w:r>
                  <w:r>
                    <w:rPr>
                      <w:rFonts w:hint="eastAsia" w:cs="Times New Roman"/>
                      <w:color w:val="0000FF"/>
                      <w:sz w:val="18"/>
                      <w:szCs w:val="18"/>
                      <w:lang w:val="en-US" w:eastAsia="zh-CN"/>
                    </w:rPr>
                    <w:t>收集、</w:t>
                  </w:r>
                  <w:r>
                    <w:rPr>
                      <w:rFonts w:hint="default" w:cs="Times New Roman"/>
                      <w:color w:val="0000FF"/>
                      <w:sz w:val="18"/>
                      <w:szCs w:val="18"/>
                      <w:lang w:val="en-US" w:eastAsia="zh-CN"/>
                    </w:rPr>
                    <w:t>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0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53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环保设备</w:t>
                  </w:r>
                </w:p>
              </w:tc>
              <w:tc>
                <w:tcPr>
                  <w:tcW w:w="122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废紫外灯管</w:t>
                  </w:r>
                </w:p>
              </w:tc>
              <w:tc>
                <w:tcPr>
                  <w:tcW w:w="99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危险废物</w:t>
                  </w:r>
                </w:p>
              </w:tc>
              <w:tc>
                <w:tcPr>
                  <w:tcW w:w="55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p>
              </w:tc>
              <w:tc>
                <w:tcPr>
                  <w:tcW w:w="7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1</w:t>
                  </w:r>
                </w:p>
              </w:tc>
              <w:tc>
                <w:tcPr>
                  <w:tcW w:w="10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c>
                <w:tcPr>
                  <w:tcW w:w="15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1</w:t>
                  </w:r>
                </w:p>
              </w:tc>
              <w:tc>
                <w:tcPr>
                  <w:tcW w:w="94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6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全厂</w:t>
                  </w:r>
                </w:p>
              </w:tc>
              <w:tc>
                <w:tcPr>
                  <w:tcW w:w="53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w:t>
                  </w:r>
                </w:p>
              </w:tc>
              <w:tc>
                <w:tcPr>
                  <w:tcW w:w="122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生活垃圾</w:t>
                  </w:r>
                </w:p>
              </w:tc>
              <w:tc>
                <w:tcPr>
                  <w:tcW w:w="99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生活垃圾</w:t>
                  </w:r>
                </w:p>
              </w:tc>
              <w:tc>
                <w:tcPr>
                  <w:tcW w:w="55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物料平衡</w:t>
                  </w:r>
                </w:p>
              </w:tc>
              <w:tc>
                <w:tcPr>
                  <w:tcW w:w="7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1.65</w:t>
                  </w:r>
                </w:p>
              </w:tc>
              <w:tc>
                <w:tcPr>
                  <w:tcW w:w="108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由当地环卫部门收集处置</w:t>
                  </w:r>
                </w:p>
              </w:tc>
              <w:tc>
                <w:tcPr>
                  <w:tcW w:w="150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eastAsia" w:cs="Times New Roman"/>
                      <w:color w:val="0000FF"/>
                      <w:sz w:val="18"/>
                      <w:szCs w:val="18"/>
                      <w:lang w:val="en-US" w:eastAsia="zh-CN"/>
                    </w:rPr>
                  </w:pPr>
                  <w:r>
                    <w:rPr>
                      <w:rFonts w:hint="eastAsia" w:cs="Times New Roman"/>
                      <w:color w:val="0000FF"/>
                      <w:sz w:val="18"/>
                      <w:szCs w:val="18"/>
                      <w:lang w:val="en-US" w:eastAsia="zh-CN"/>
                    </w:rPr>
                    <w:t>1.65</w:t>
                  </w:r>
                </w:p>
              </w:tc>
              <w:tc>
                <w:tcPr>
                  <w:tcW w:w="94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rPr>
                      <w:rFonts w:hint="default" w:cs="Times New Roman"/>
                      <w:color w:val="0000FF"/>
                      <w:sz w:val="18"/>
                      <w:szCs w:val="18"/>
                      <w:lang w:val="en-US" w:eastAsia="zh-CN"/>
                    </w:rPr>
                  </w:pPr>
                  <w:r>
                    <w:rPr>
                      <w:rFonts w:hint="eastAsia" w:cs="Times New Roman"/>
                      <w:color w:val="0000FF"/>
                      <w:sz w:val="18"/>
                      <w:szCs w:val="18"/>
                      <w:lang w:val="en-US" w:eastAsia="zh-CN"/>
                    </w:rPr>
                    <w:t>填埋、利用</w:t>
                  </w:r>
                </w:p>
              </w:tc>
            </w:tr>
          </w:tbl>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4.2固废处理措施及可行性分析</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eastAsia" w:cs="Times New Roman"/>
                <w:kern w:val="0"/>
                <w:szCs w:val="21"/>
                <w:highlight w:val="none"/>
                <w:lang w:val="en-US" w:eastAsia="zh-CN"/>
              </w:rPr>
              <w:t>拟建</w:t>
            </w:r>
            <w:r>
              <w:rPr>
                <w:rFonts w:hint="default" w:ascii="Times New Roman" w:hAnsi="Times New Roman" w:eastAsia="宋体" w:cs="Times New Roman"/>
                <w:kern w:val="0"/>
                <w:szCs w:val="21"/>
                <w:highlight w:val="none"/>
                <w:lang w:val="en-US" w:eastAsia="zh-CN"/>
              </w:rPr>
              <w:t>项目固废包括一般工业固废、危险废物及生活</w:t>
            </w:r>
            <w:r>
              <w:rPr>
                <w:rFonts w:hint="default" w:ascii="Times New Roman" w:hAnsi="Times New Roman" w:eastAsia="宋体" w:cs="Times New Roman"/>
                <w:color w:val="auto"/>
                <w:kern w:val="0"/>
                <w:szCs w:val="21"/>
                <w:highlight w:val="none"/>
                <w:lang w:val="en-US" w:eastAsia="zh-CN"/>
              </w:rPr>
              <w:t>垃圾，其中一般工业固废包括</w:t>
            </w:r>
            <w:r>
              <w:rPr>
                <w:rFonts w:hint="default" w:ascii="Times New Roman" w:hAnsi="Times New Roman" w:cs="Times New Roman"/>
                <w:color w:val="auto"/>
                <w:kern w:val="0"/>
                <w:szCs w:val="21"/>
                <w:highlight w:val="none"/>
                <w:lang w:val="en-US" w:eastAsia="zh-CN"/>
              </w:rPr>
              <w:t>废包装袋</w:t>
            </w:r>
            <w:r>
              <w:rPr>
                <w:rFonts w:hint="default" w:ascii="Times New Roman" w:hAnsi="Times New Roman" w:eastAsia="宋体" w:cs="Times New Roman"/>
                <w:color w:val="auto"/>
                <w:kern w:val="0"/>
                <w:szCs w:val="21"/>
                <w:highlight w:val="none"/>
                <w:lang w:val="en-US" w:eastAsia="zh-CN"/>
              </w:rPr>
              <w:t>，暂存于</w:t>
            </w:r>
            <w:r>
              <w:rPr>
                <w:rFonts w:hint="eastAsia" w:cs="Times New Roman"/>
                <w:color w:val="auto"/>
                <w:kern w:val="0"/>
                <w:szCs w:val="21"/>
                <w:highlight w:val="none"/>
                <w:lang w:val="en-US" w:eastAsia="zh-CN"/>
              </w:rPr>
              <w:t>一般工业固废暂存区</w:t>
            </w:r>
            <w:r>
              <w:rPr>
                <w:rFonts w:hint="default" w:ascii="Times New Roman" w:hAnsi="Times New Roman" w:eastAsia="宋体" w:cs="Times New Roman"/>
                <w:color w:val="auto"/>
                <w:kern w:val="0"/>
                <w:szCs w:val="21"/>
                <w:highlight w:val="none"/>
                <w:lang w:val="en-US" w:eastAsia="zh-CN"/>
              </w:rPr>
              <w:t>，</w:t>
            </w:r>
            <w:r>
              <w:rPr>
                <w:rFonts w:hint="eastAsia" w:cs="Times New Roman"/>
                <w:color w:val="auto"/>
                <w:kern w:val="0"/>
                <w:szCs w:val="21"/>
                <w:highlight w:val="none"/>
                <w:lang w:val="en-US" w:eastAsia="zh-CN"/>
              </w:rPr>
              <w:t>一般工业固废暂存区</w:t>
            </w:r>
            <w:r>
              <w:rPr>
                <w:rFonts w:hint="default" w:ascii="Times New Roman" w:hAnsi="Times New Roman" w:eastAsia="宋体" w:cs="Times New Roman"/>
                <w:color w:val="auto"/>
                <w:kern w:val="0"/>
                <w:szCs w:val="21"/>
                <w:highlight w:val="none"/>
                <w:lang w:val="en-US" w:eastAsia="zh-CN"/>
              </w:rPr>
              <w:t>面积约</w:t>
            </w:r>
            <w:r>
              <w:rPr>
                <w:rFonts w:hint="eastAsia" w:cs="Times New Roman"/>
                <w:color w:val="auto"/>
                <w:kern w:val="0"/>
                <w:szCs w:val="21"/>
                <w:highlight w:val="none"/>
                <w:lang w:val="en-US" w:eastAsia="zh-CN"/>
              </w:rPr>
              <w:t>5</w:t>
            </w:r>
            <w:r>
              <w:rPr>
                <w:rFonts w:hint="default" w:ascii="Times New Roman" w:hAnsi="Times New Roman" w:eastAsia="宋体" w:cs="Times New Roman"/>
                <w:color w:val="auto"/>
                <w:kern w:val="0"/>
                <w:szCs w:val="21"/>
                <w:highlight w:val="none"/>
                <w:lang w:val="en-US" w:eastAsia="zh-CN"/>
              </w:rPr>
              <w:t>m</w:t>
            </w:r>
            <w:r>
              <w:rPr>
                <w:rFonts w:hint="default" w:ascii="Times New Roman" w:hAnsi="Times New Roman" w:eastAsia="宋体" w:cs="Times New Roman"/>
                <w:color w:val="auto"/>
                <w:kern w:val="0"/>
                <w:szCs w:val="21"/>
                <w:highlight w:val="none"/>
                <w:vertAlign w:val="superscript"/>
                <w:lang w:val="en-US" w:eastAsia="zh-CN"/>
              </w:rPr>
              <w:t>2</w:t>
            </w:r>
            <w:r>
              <w:rPr>
                <w:rFonts w:hint="default" w:ascii="Times New Roman" w:hAnsi="Times New Roman" w:eastAsia="宋体" w:cs="Times New Roman"/>
                <w:color w:val="auto"/>
                <w:kern w:val="0"/>
                <w:szCs w:val="21"/>
                <w:highlight w:val="none"/>
                <w:lang w:val="en-US" w:eastAsia="zh-CN"/>
              </w:rPr>
              <w:t>，地</w:t>
            </w:r>
            <w:r>
              <w:rPr>
                <w:rFonts w:hint="default" w:ascii="Times New Roman" w:hAnsi="Times New Roman" w:eastAsia="宋体" w:cs="Times New Roman"/>
                <w:kern w:val="0"/>
                <w:szCs w:val="21"/>
                <w:highlight w:val="none"/>
                <w:lang w:val="en-US" w:eastAsia="zh-CN"/>
              </w:rPr>
              <w:t>面进行硬化。危险废物包括废活性炭，暂存于危废暂存</w:t>
            </w:r>
            <w:r>
              <w:rPr>
                <w:rFonts w:hint="eastAsia" w:cs="Times New Roman"/>
                <w:kern w:val="0"/>
                <w:szCs w:val="21"/>
                <w:highlight w:val="none"/>
                <w:lang w:val="en-US" w:eastAsia="zh-CN"/>
              </w:rPr>
              <w:t>区</w:t>
            </w:r>
            <w:r>
              <w:rPr>
                <w:rFonts w:hint="default" w:ascii="Times New Roman" w:hAnsi="Times New Roman" w:eastAsia="宋体" w:cs="Times New Roman"/>
                <w:kern w:val="0"/>
                <w:szCs w:val="21"/>
                <w:highlight w:val="none"/>
                <w:lang w:val="en-US" w:eastAsia="zh-CN"/>
              </w:rPr>
              <w:t>，</w:t>
            </w:r>
            <w:r>
              <w:rPr>
                <w:rFonts w:hint="eastAsia" w:cs="Times New Roman"/>
                <w:kern w:val="0"/>
                <w:szCs w:val="21"/>
                <w:highlight w:val="none"/>
                <w:lang w:val="en-US" w:eastAsia="zh-CN"/>
              </w:rPr>
              <w:t>危废暂存区</w:t>
            </w:r>
            <w:r>
              <w:rPr>
                <w:rFonts w:hint="default" w:ascii="Times New Roman" w:hAnsi="Times New Roman" w:eastAsia="宋体" w:cs="Times New Roman"/>
                <w:kern w:val="0"/>
                <w:szCs w:val="21"/>
                <w:highlight w:val="none"/>
                <w:lang w:val="en-US" w:eastAsia="zh-CN"/>
              </w:rPr>
              <w:t>占地面积约5m</w:t>
            </w:r>
            <w:r>
              <w:rPr>
                <w:rFonts w:hint="default" w:ascii="Times New Roman" w:hAnsi="Times New Roman" w:eastAsia="宋体" w:cs="Times New Roman"/>
                <w:kern w:val="0"/>
                <w:szCs w:val="21"/>
                <w:highlight w:val="none"/>
                <w:vertAlign w:val="superscript"/>
                <w:lang w:val="en-US" w:eastAsia="zh-CN"/>
              </w:rPr>
              <w:t>2</w:t>
            </w:r>
            <w:r>
              <w:rPr>
                <w:rFonts w:hint="default" w:ascii="Times New Roman" w:hAnsi="Times New Roman" w:eastAsia="宋体" w:cs="Times New Roman"/>
                <w:kern w:val="0"/>
                <w:szCs w:val="21"/>
                <w:highlight w:val="none"/>
                <w:lang w:val="en-US" w:eastAsia="zh-CN"/>
              </w:rPr>
              <w:t>，采取防风、防雨、防晒、防渗漏等“四防”措施，定期交由回收单位回收利用，并设置了标示标牌。</w:t>
            </w:r>
          </w:p>
          <w:p>
            <w:pPr>
              <w:spacing w:line="360" w:lineRule="auto"/>
              <w:ind w:firstLine="420" w:firstLineChars="200"/>
              <w:rPr>
                <w:rFonts w:hint="default" w:ascii="Times New Roman" w:hAnsi="Times New Roman" w:eastAsia="宋体" w:cs="Times New Roman"/>
                <w:kern w:val="0"/>
                <w:szCs w:val="21"/>
                <w:highlight w:val="none"/>
                <w:lang w:val="en-US" w:eastAsia="zh-CN"/>
              </w:rPr>
            </w:pPr>
            <w:r>
              <w:rPr>
                <w:rFonts w:hint="default" w:ascii="Times New Roman" w:hAnsi="Times New Roman" w:eastAsia="宋体" w:cs="Times New Roman"/>
                <w:kern w:val="0"/>
                <w:szCs w:val="21"/>
                <w:highlight w:val="none"/>
                <w:lang w:val="en-US" w:eastAsia="zh-CN"/>
              </w:rPr>
              <w:t>拟建项目危险废物废活性炭以包装袋进行密闭后暂存，因此</w:t>
            </w:r>
            <w:r>
              <w:rPr>
                <w:rFonts w:hint="eastAsia" w:cs="Times New Roman"/>
                <w:kern w:val="0"/>
                <w:szCs w:val="21"/>
                <w:highlight w:val="none"/>
                <w:lang w:val="en-US" w:eastAsia="zh-CN"/>
              </w:rPr>
              <w:t>危废暂存区</w:t>
            </w:r>
            <w:r>
              <w:rPr>
                <w:rFonts w:hint="default" w:ascii="Times New Roman" w:hAnsi="Times New Roman" w:eastAsia="宋体" w:cs="Times New Roman"/>
                <w:kern w:val="0"/>
                <w:szCs w:val="21"/>
                <w:highlight w:val="none"/>
                <w:lang w:val="en-US" w:eastAsia="zh-CN"/>
              </w:rPr>
              <w:t>进行合理分区堆放，并提高危废的周转效率，</w:t>
            </w:r>
            <w:r>
              <w:rPr>
                <w:rFonts w:hint="eastAsia" w:cs="Times New Roman"/>
                <w:kern w:val="0"/>
                <w:szCs w:val="21"/>
                <w:highlight w:val="none"/>
                <w:lang w:val="en-US" w:eastAsia="zh-CN"/>
              </w:rPr>
              <w:t>危废暂存区</w:t>
            </w:r>
            <w:r>
              <w:rPr>
                <w:rFonts w:hint="default" w:ascii="Times New Roman" w:hAnsi="Times New Roman" w:eastAsia="宋体" w:cs="Times New Roman"/>
                <w:kern w:val="0"/>
                <w:szCs w:val="21"/>
                <w:highlight w:val="none"/>
                <w:lang w:val="en-US" w:eastAsia="zh-CN"/>
              </w:rPr>
              <w:t>满足暂存要求。</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0"/>
                <w:szCs w:val="21"/>
                <w:highlight w:val="none"/>
                <w:lang w:val="en-US" w:eastAsia="zh-CN"/>
              </w:rPr>
              <w:t>综上，</w:t>
            </w:r>
            <w:r>
              <w:rPr>
                <w:rFonts w:hint="default" w:ascii="Times New Roman" w:hAnsi="Times New Roman" w:cs="Times New Roman"/>
                <w:kern w:val="0"/>
                <w:szCs w:val="21"/>
                <w:highlight w:val="none"/>
                <w:lang w:val="en-US" w:eastAsia="zh-CN"/>
              </w:rPr>
              <w:t>拟建</w:t>
            </w:r>
            <w:r>
              <w:rPr>
                <w:rFonts w:hint="default" w:ascii="Times New Roman" w:hAnsi="Times New Roman" w:eastAsia="宋体" w:cs="Times New Roman"/>
                <w:kern w:val="0"/>
                <w:szCs w:val="21"/>
                <w:highlight w:val="none"/>
                <w:lang w:val="en-US" w:eastAsia="zh-CN"/>
              </w:rPr>
              <w:t>项目</w:t>
            </w:r>
            <w:r>
              <w:rPr>
                <w:rFonts w:hint="default" w:ascii="Times New Roman" w:hAnsi="Times New Roman" w:eastAsia="宋体" w:cs="Times New Roman"/>
                <w:sz w:val="21"/>
                <w:szCs w:val="21"/>
                <w:lang w:val="en-US" w:eastAsia="zh-CN"/>
              </w:rPr>
              <w:t>建成后产生的固体废物通过以上措施妥善处理处置后，对周围环境及人体不会造成影响，也不会造成二次污染，所</w:t>
            </w:r>
            <w:r>
              <w:rPr>
                <w:rFonts w:hint="eastAsia" w:cs="Times New Roman"/>
                <w:sz w:val="21"/>
                <w:szCs w:val="21"/>
                <w:lang w:val="en-US" w:eastAsia="zh-CN"/>
              </w:rPr>
              <w:t>实施的</w:t>
            </w:r>
            <w:r>
              <w:rPr>
                <w:rFonts w:hint="default" w:ascii="Times New Roman" w:hAnsi="Times New Roman" w:eastAsia="宋体" w:cs="Times New Roman"/>
                <w:sz w:val="21"/>
                <w:szCs w:val="21"/>
                <w:lang w:val="en-US" w:eastAsia="zh-CN"/>
              </w:rPr>
              <w:t>污染防治措施在技术经济上是可行的，不会对周围的环境产生影响。</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0"/>
                <w:szCs w:val="21"/>
                <w:highlight w:val="none"/>
                <w:lang w:val="en-US" w:eastAsia="zh-CN"/>
              </w:rPr>
              <w:t>生活垃圾收集于垃圾收集点，定期交由环卫部门处理。</w:t>
            </w:r>
          </w:p>
          <w:p>
            <w:pPr>
              <w:spacing w:line="360" w:lineRule="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5.地下水、土壤</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根据拟建项目特点，厂房区域按重点防渗区和简单防渗区进行分区防渗，并根据其特点进行相应的防腐防渗处理。</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按照《环境影响评价技术导则 地下水环境》（HJ 610-2016）要求，根据防渗标准和规范，结合目前施工过程中的可操作性和技术水平，评价针对</w:t>
            </w: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项目防渗区域推荐采用的典型防渗措施如下，在具体设计中应根据实际情况在满足防渗标准的前提下作必要的调整。</w:t>
            </w:r>
          </w:p>
          <w:p>
            <w:pPr>
              <w:pStyle w:val="43"/>
              <w:bidi w:val="0"/>
              <w:rPr>
                <w:rFonts w:hint="default" w:ascii="Times New Roman" w:hAnsi="Times New Roman" w:cs="Times New Roman"/>
                <w:color w:val="auto"/>
                <w:lang w:val="en-US" w:eastAsia="zh-CN"/>
              </w:rPr>
            </w:pPr>
            <w:r>
              <w:rPr>
                <w:rFonts w:hint="eastAsia" w:cs="Times New Roman"/>
                <w:sz w:val="21"/>
                <w:szCs w:val="21"/>
                <w:lang w:val="en-US" w:eastAsia="zh-CN"/>
              </w:rPr>
              <w:t>重点防渗区为油品区、危废暂存区，</w:t>
            </w:r>
            <w:r>
              <w:rPr>
                <w:rFonts w:hint="default" w:ascii="Times New Roman" w:hAnsi="Times New Roman" w:eastAsia="宋体" w:cs="Times New Roman"/>
                <w:sz w:val="21"/>
                <w:szCs w:val="21"/>
                <w:lang w:val="en-US" w:eastAsia="zh-CN"/>
              </w:rPr>
              <w:t>重点防渗区防渗性能满足要求“不低6.0m厚，渗透系数为1.0×10</w:t>
            </w:r>
            <w:r>
              <w:rPr>
                <w:rFonts w:hint="default" w:ascii="Times New Roman" w:hAnsi="Times New Roman" w:eastAsia="宋体" w:cs="Times New Roman"/>
                <w:sz w:val="21"/>
                <w:szCs w:val="21"/>
                <w:vertAlign w:val="superscript"/>
                <w:lang w:val="en-US" w:eastAsia="zh-CN"/>
              </w:rPr>
              <w:t>-7</w:t>
            </w:r>
            <w:r>
              <w:rPr>
                <w:rFonts w:hint="default" w:ascii="Times New Roman" w:hAnsi="Times New Roman" w:eastAsia="宋体" w:cs="Times New Roman"/>
                <w:sz w:val="21"/>
                <w:szCs w:val="21"/>
                <w:lang w:val="en-US" w:eastAsia="zh-CN"/>
              </w:rPr>
              <w:t>cm/s的黏土层防渗性能”，其中</w:t>
            </w:r>
            <w:r>
              <w:rPr>
                <w:rFonts w:hint="eastAsia" w:cs="Times New Roman"/>
                <w:sz w:val="21"/>
                <w:szCs w:val="21"/>
                <w:lang w:val="en-US" w:eastAsia="zh-CN"/>
              </w:rPr>
              <w:t>危废暂存区</w:t>
            </w:r>
            <w:r>
              <w:rPr>
                <w:rFonts w:hint="default" w:ascii="Times New Roman" w:hAnsi="Times New Roman" w:eastAsia="宋体" w:cs="Times New Roman"/>
                <w:sz w:val="21"/>
                <w:szCs w:val="21"/>
                <w:lang w:val="en-US" w:eastAsia="zh-CN"/>
              </w:rPr>
              <w:t>按《危险废物贮存污染控制标准》，其防渗性能要求满足渗透系数≤10</w:t>
            </w:r>
            <w:r>
              <w:rPr>
                <w:rFonts w:hint="default" w:ascii="Times New Roman" w:hAnsi="Times New Roman" w:eastAsia="宋体" w:cs="Times New Roman"/>
                <w:sz w:val="21"/>
                <w:szCs w:val="21"/>
                <w:vertAlign w:val="superscript"/>
                <w:lang w:val="en-US" w:eastAsia="zh-CN"/>
              </w:rPr>
              <w:t>-10</w:t>
            </w:r>
            <w:r>
              <w:rPr>
                <w:rFonts w:hint="default" w:ascii="Times New Roman" w:hAnsi="Times New Roman" w:eastAsia="宋体" w:cs="Times New Roman"/>
                <w:sz w:val="21"/>
                <w:szCs w:val="21"/>
                <w:vertAlign w:val="baseline"/>
                <w:lang w:val="en-US" w:eastAsia="zh-CN"/>
              </w:rPr>
              <w:t>c</w:t>
            </w:r>
            <w:r>
              <w:rPr>
                <w:rFonts w:hint="default" w:ascii="Times New Roman" w:hAnsi="Times New Roman" w:eastAsia="宋体" w:cs="Times New Roman"/>
                <w:sz w:val="21"/>
                <w:szCs w:val="21"/>
                <w:lang w:val="en-US" w:eastAsia="zh-CN"/>
              </w:rPr>
              <w:t>m/s的要求。</w:t>
            </w:r>
            <w:r>
              <w:rPr>
                <w:rFonts w:hint="default" w:ascii="Times New Roman" w:hAnsi="Times New Roman" w:cs="Times New Roman"/>
                <w:color w:val="auto"/>
                <w:lang w:val="en-US" w:eastAsia="zh-CN"/>
              </w:rPr>
              <w:t>同时项目厂房地面进行硬化处理。排水管道采用防腐蚀、防渗材料，污水通过管道密闭输送，规范操作规程，杜绝废水“跑、冒、滴、漏”现象的发生。</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简单防渗区</w:t>
            </w:r>
            <w:r>
              <w:rPr>
                <w:rFonts w:hint="eastAsia" w:cs="Times New Roman"/>
                <w:sz w:val="21"/>
                <w:szCs w:val="21"/>
                <w:lang w:val="en-US" w:eastAsia="zh-CN"/>
              </w:rPr>
              <w:t>为除重点防渗区外其他区域，</w:t>
            </w:r>
            <w:r>
              <w:rPr>
                <w:rFonts w:hint="default" w:ascii="Times New Roman" w:hAnsi="Times New Roman" w:eastAsia="宋体" w:cs="Times New Roman"/>
                <w:sz w:val="21"/>
                <w:szCs w:val="21"/>
                <w:lang w:val="en-US" w:eastAsia="zh-CN"/>
              </w:rPr>
              <w:t>仅进行地面硬化处理。</w:t>
            </w:r>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综上，</w:t>
            </w:r>
            <w:r>
              <w:rPr>
                <w:rFonts w:hint="default" w:ascii="Times New Roman" w:hAnsi="Times New Roman" w:cs="Times New Roman"/>
                <w:sz w:val="21"/>
                <w:szCs w:val="21"/>
                <w:lang w:val="en-US" w:eastAsia="zh-CN"/>
              </w:rPr>
              <w:t>拟建</w:t>
            </w:r>
            <w:r>
              <w:rPr>
                <w:rFonts w:hint="default" w:ascii="Times New Roman" w:hAnsi="Times New Roman" w:eastAsia="宋体" w:cs="Times New Roman"/>
                <w:sz w:val="21"/>
                <w:szCs w:val="21"/>
                <w:lang w:val="en-US" w:eastAsia="zh-CN"/>
              </w:rPr>
              <w:t>项目采取上述防渗措施后，评价认为可满足国家相关规范要求，达到</w:t>
            </w:r>
            <w:r>
              <w:rPr>
                <w:rFonts w:hint="default" w:ascii="Times New Roman" w:hAnsi="Times New Roman" w:cs="Times New Roman"/>
                <w:sz w:val="21"/>
                <w:szCs w:val="21"/>
                <w:lang w:val="en-US" w:eastAsia="zh-CN"/>
              </w:rPr>
              <w:t>地下水、土壤污染防治</w:t>
            </w:r>
            <w:r>
              <w:rPr>
                <w:rFonts w:hint="default" w:ascii="Times New Roman" w:hAnsi="Times New Roman" w:eastAsia="宋体" w:cs="Times New Roman"/>
                <w:sz w:val="21"/>
                <w:szCs w:val="21"/>
                <w:lang w:val="en-US" w:eastAsia="zh-CN"/>
              </w:rPr>
              <w:t>目的。</w:t>
            </w:r>
          </w:p>
          <w:p>
            <w:pPr>
              <w:pStyle w:val="47"/>
              <w:bidi w:val="0"/>
              <w:ind w:left="0" w:leftChars="0" w:firstLine="0" w:firstLineChars="0"/>
              <w:rPr>
                <w:rFonts w:hint="default" w:ascii="Times New Roman" w:hAnsi="Times New Roman" w:cs="Times New Roman"/>
                <w:color w:val="auto"/>
                <w:lang w:val="en-US" w:eastAsia="zh-CN"/>
              </w:rPr>
            </w:pPr>
            <w:r>
              <w:rPr>
                <w:rFonts w:hint="eastAsia" w:cs="Times New Roman"/>
                <w:color w:val="auto"/>
                <w:lang w:val="en-US" w:eastAsia="zh-CN"/>
              </w:rPr>
              <w:t>6</w:t>
            </w:r>
            <w:r>
              <w:rPr>
                <w:rFonts w:hint="default" w:ascii="Times New Roman" w:hAnsi="Times New Roman" w:cs="Times New Roman"/>
                <w:color w:val="auto"/>
                <w:lang w:val="en-US" w:eastAsia="zh-CN"/>
              </w:rPr>
              <w:t>.环境风险</w:t>
            </w:r>
          </w:p>
          <w:p>
            <w:pPr>
              <w:pStyle w:val="47"/>
              <w:bidi w:val="0"/>
              <w:ind w:left="0" w:leftChars="0" w:firstLine="0" w:firstLineChars="0"/>
              <w:rPr>
                <w:rFonts w:hint="default" w:ascii="Times New Roman" w:hAnsi="Times New Roman" w:cs="Times New Roman"/>
                <w:color w:val="auto"/>
                <w:lang w:val="en-US" w:eastAsia="zh-CN"/>
              </w:rPr>
            </w:pPr>
            <w:r>
              <w:rPr>
                <w:rFonts w:hint="eastAsia" w:cs="Times New Roman"/>
                <w:color w:val="auto"/>
                <w:lang w:val="en-US" w:eastAsia="zh-CN"/>
              </w:rPr>
              <w:t>6</w:t>
            </w:r>
            <w:r>
              <w:rPr>
                <w:rFonts w:hint="default" w:ascii="Times New Roman" w:hAnsi="Times New Roman" w:cs="Times New Roman"/>
                <w:color w:val="auto"/>
                <w:lang w:val="en-US" w:eastAsia="zh-CN"/>
              </w:rPr>
              <w:t>.1风险物质及风险源分布情况</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参照《建设项目环境风险评价技术导则》（H169-2018）附录C，计算出危险物质数量与临界量比值（Q）。公式如下：</w:t>
            </w:r>
          </w:p>
          <w:p>
            <w:pPr>
              <w:pStyle w:val="43"/>
              <w:bidi w:val="0"/>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Q＝q</w:t>
            </w:r>
            <w:r>
              <w:rPr>
                <w:rFonts w:hint="default" w:ascii="Times New Roman" w:hAnsi="Times New Roman" w:cs="Times New Roman"/>
                <w:color w:val="auto"/>
                <w:vertAlign w:val="subscript"/>
              </w:rPr>
              <w:t>1</w:t>
            </w:r>
            <w:r>
              <w:rPr>
                <w:rFonts w:hint="default" w:ascii="Times New Roman" w:hAnsi="Times New Roman" w:cs="Times New Roman"/>
                <w:color w:val="auto"/>
              </w:rPr>
              <w:t>/Q</w:t>
            </w:r>
            <w:r>
              <w:rPr>
                <w:rFonts w:hint="default" w:ascii="Times New Roman" w:hAnsi="Times New Roman" w:cs="Times New Roman"/>
                <w:color w:val="auto"/>
                <w:vertAlign w:val="subscript"/>
              </w:rPr>
              <w:t>1</w:t>
            </w:r>
            <w:r>
              <w:rPr>
                <w:rFonts w:hint="default" w:ascii="Times New Roman" w:hAnsi="Times New Roman" w:cs="Times New Roman"/>
                <w:color w:val="auto"/>
              </w:rPr>
              <w:t>+ q</w:t>
            </w:r>
            <w:r>
              <w:rPr>
                <w:rFonts w:hint="default" w:ascii="Times New Roman" w:hAnsi="Times New Roman" w:cs="Times New Roman"/>
                <w:color w:val="auto"/>
                <w:vertAlign w:val="subscript"/>
              </w:rPr>
              <w:t>2</w:t>
            </w:r>
            <w:r>
              <w:rPr>
                <w:rFonts w:hint="default" w:ascii="Times New Roman" w:hAnsi="Times New Roman" w:cs="Times New Roman"/>
                <w:color w:val="auto"/>
              </w:rPr>
              <w:t>/Q</w:t>
            </w:r>
            <w:r>
              <w:rPr>
                <w:rFonts w:hint="default" w:ascii="Times New Roman" w:hAnsi="Times New Roman" w:cs="Times New Roman"/>
                <w:color w:val="auto"/>
                <w:vertAlign w:val="subscript"/>
              </w:rPr>
              <w:t>2+</w:t>
            </w:r>
            <w:r>
              <w:rPr>
                <w:rFonts w:hint="default" w:ascii="Times New Roman" w:hAnsi="Times New Roman" w:cs="Times New Roman"/>
                <w:color w:val="auto"/>
              </w:rPr>
              <w:t>……+ q</w:t>
            </w:r>
            <w:r>
              <w:rPr>
                <w:rFonts w:hint="default" w:ascii="Times New Roman" w:hAnsi="Times New Roman" w:cs="Times New Roman"/>
                <w:color w:val="auto"/>
                <w:vertAlign w:val="subscript"/>
              </w:rPr>
              <w:t>n</w:t>
            </w:r>
            <w:r>
              <w:rPr>
                <w:rFonts w:hint="default" w:ascii="Times New Roman" w:hAnsi="Times New Roman" w:cs="Times New Roman"/>
                <w:color w:val="auto"/>
              </w:rPr>
              <w:t>/Q</w:t>
            </w:r>
            <w:r>
              <w:rPr>
                <w:rFonts w:hint="default" w:ascii="Times New Roman" w:hAnsi="Times New Roman" w:cs="Times New Roman"/>
                <w:color w:val="auto"/>
                <w:vertAlign w:val="subscript"/>
              </w:rPr>
              <w:t>n</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式中：q</w:t>
            </w:r>
            <w:r>
              <w:rPr>
                <w:rFonts w:hint="default" w:ascii="Times New Roman" w:hAnsi="Times New Roman" w:cs="Times New Roman"/>
                <w:color w:val="auto"/>
                <w:vertAlign w:val="subscript"/>
                <w:lang w:val="en-US" w:eastAsia="zh-CN"/>
              </w:rPr>
              <w:t>1</w:t>
            </w:r>
            <w:r>
              <w:rPr>
                <w:rFonts w:hint="default" w:ascii="Times New Roman" w:hAnsi="Times New Roman" w:cs="Times New Roman"/>
                <w:color w:val="auto"/>
                <w:lang w:val="en-US" w:eastAsia="zh-CN"/>
              </w:rPr>
              <w:t>，q</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，……，q</w:t>
            </w:r>
            <w:r>
              <w:rPr>
                <w:rFonts w:hint="default" w:ascii="Times New Roman" w:hAnsi="Times New Roman" w:cs="Times New Roman"/>
                <w:color w:val="auto"/>
                <w:vertAlign w:val="subscript"/>
                <w:lang w:val="en-US" w:eastAsia="zh-CN"/>
              </w:rPr>
              <w:t>n</w:t>
            </w:r>
            <w:r>
              <w:rPr>
                <w:rFonts w:hint="default" w:ascii="Times New Roman" w:hAnsi="Times New Roman" w:cs="Times New Roman"/>
                <w:color w:val="auto"/>
                <w:lang w:val="en-US" w:eastAsia="zh-CN"/>
              </w:rPr>
              <w:t>每种危险物质的最大存在总量，t；</w:t>
            </w:r>
          </w:p>
          <w:p>
            <w:pPr>
              <w:pStyle w:val="43"/>
              <w:bidi w:val="0"/>
              <w:ind w:firstLine="1050" w:firstLineChars="5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Q</w:t>
            </w:r>
            <w:r>
              <w:rPr>
                <w:rFonts w:hint="default" w:ascii="Times New Roman" w:hAnsi="Times New Roman" w:cs="Times New Roman"/>
                <w:color w:val="auto"/>
                <w:vertAlign w:val="subscript"/>
                <w:lang w:val="en-US" w:eastAsia="zh-CN"/>
              </w:rPr>
              <w:t>1</w:t>
            </w:r>
            <w:r>
              <w:rPr>
                <w:rFonts w:hint="default" w:ascii="Times New Roman" w:hAnsi="Times New Roman" w:cs="Times New Roman"/>
                <w:color w:val="auto"/>
                <w:lang w:val="en-US" w:eastAsia="zh-CN"/>
              </w:rPr>
              <w:t>，Q</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，……，Q</w:t>
            </w:r>
            <w:r>
              <w:rPr>
                <w:rFonts w:hint="default" w:ascii="Times New Roman" w:hAnsi="Times New Roman" w:cs="Times New Roman"/>
                <w:color w:val="auto"/>
                <w:vertAlign w:val="subscript"/>
                <w:lang w:val="en-US" w:eastAsia="zh-CN"/>
              </w:rPr>
              <w:t>n</w:t>
            </w:r>
            <w:r>
              <w:rPr>
                <w:rFonts w:hint="default" w:ascii="Times New Roman" w:hAnsi="Times New Roman" w:cs="Times New Roman"/>
                <w:color w:val="auto"/>
                <w:lang w:val="en-US" w:eastAsia="zh-CN"/>
              </w:rPr>
              <w:t>每种危险物质的临界量，t。</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经查</w:t>
            </w:r>
            <w:r>
              <w:rPr>
                <w:rFonts w:hint="default" w:ascii="Times New Roman" w:hAnsi="Times New Roman" w:cs="Times New Roman"/>
                <w:color w:val="auto"/>
              </w:rPr>
              <w:t>《建设项目环境风险评价技术导则》（H169-2018）附录B</w:t>
            </w:r>
            <w:r>
              <w:rPr>
                <w:rFonts w:hint="default" w:ascii="Times New Roman" w:hAnsi="Times New Roman" w:cs="Times New Roman"/>
                <w:color w:val="auto"/>
                <w:lang w:val="en-US" w:eastAsia="zh-CN"/>
              </w:rPr>
              <w:t>识别项目</w:t>
            </w:r>
            <w:r>
              <w:rPr>
                <w:rFonts w:hint="default" w:ascii="Times New Roman" w:hAnsi="Times New Roman" w:cs="Times New Roman"/>
                <w:color w:val="auto"/>
              </w:rPr>
              <w:t>涉及</w:t>
            </w:r>
            <w:r>
              <w:rPr>
                <w:rFonts w:hint="default" w:ascii="Times New Roman" w:hAnsi="Times New Roman" w:cs="Times New Roman"/>
                <w:color w:val="auto"/>
                <w:lang w:val="en-US" w:eastAsia="zh-CN"/>
              </w:rPr>
              <w:t>的</w:t>
            </w:r>
            <w:r>
              <w:rPr>
                <w:rFonts w:hint="default" w:ascii="Times New Roman" w:hAnsi="Times New Roman" w:cs="Times New Roman"/>
                <w:color w:val="auto"/>
              </w:rPr>
              <w:t>风险物质</w:t>
            </w:r>
            <w:r>
              <w:rPr>
                <w:rFonts w:hint="default" w:ascii="Times New Roman" w:hAnsi="Times New Roman" w:cs="Times New Roman"/>
                <w:color w:val="auto"/>
                <w:lang w:val="en-US" w:eastAsia="zh-CN"/>
              </w:rPr>
              <w:t>及其临界量</w:t>
            </w:r>
            <w:r>
              <w:rPr>
                <w:rFonts w:hint="default" w:ascii="Times New Roman" w:hAnsi="Times New Roman" w:cs="Times New Roman"/>
                <w:color w:val="auto"/>
              </w:rPr>
              <w:t>，</w:t>
            </w:r>
            <w:r>
              <w:rPr>
                <w:rFonts w:hint="default" w:ascii="Times New Roman" w:hAnsi="Times New Roman" w:cs="Times New Roman"/>
                <w:color w:val="auto"/>
                <w:lang w:val="en-US" w:eastAsia="zh-CN"/>
              </w:rPr>
              <w:t>拟建项目涉及危险物质的主要单元为：</w:t>
            </w:r>
            <w:r>
              <w:rPr>
                <w:rFonts w:hint="eastAsia" w:cs="Times New Roman"/>
                <w:color w:val="auto"/>
                <w:lang w:val="en-US" w:eastAsia="zh-CN"/>
              </w:rPr>
              <w:t>油品区</w:t>
            </w:r>
            <w:r>
              <w:rPr>
                <w:rFonts w:hint="default" w:ascii="Times New Roman" w:hAnsi="Times New Roman" w:cs="Times New Roman"/>
                <w:color w:val="auto"/>
                <w:lang w:val="en-US" w:eastAsia="zh-CN"/>
              </w:rPr>
              <w:t>。危险单元情况及危险物质临界比值见下表4-</w:t>
            </w:r>
            <w:r>
              <w:rPr>
                <w:rFonts w:hint="eastAsia" w:cs="Times New Roman"/>
                <w:color w:val="auto"/>
                <w:lang w:val="en-US" w:eastAsia="zh-CN"/>
              </w:rPr>
              <w:t>14</w:t>
            </w:r>
            <w:r>
              <w:rPr>
                <w:rFonts w:hint="default" w:ascii="Times New Roman" w:hAnsi="Times New Roman" w:cs="Times New Roman"/>
                <w:color w:val="auto"/>
                <w:lang w:val="en-US" w:eastAsia="zh-CN"/>
              </w:rPr>
              <w:t>。</w:t>
            </w:r>
          </w:p>
          <w:p>
            <w:pPr>
              <w:pStyle w:val="4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表4-</w:t>
            </w:r>
            <w:r>
              <w:rPr>
                <w:rFonts w:hint="eastAsia" w:cs="Times New Roman"/>
                <w:color w:val="auto"/>
                <w:lang w:val="en-US" w:eastAsia="zh-CN"/>
              </w:rPr>
              <w:t>14</w:t>
            </w:r>
            <w:r>
              <w:rPr>
                <w:rFonts w:hint="default" w:ascii="Times New Roman" w:hAnsi="Times New Roman" w:cs="Times New Roman"/>
                <w:color w:val="auto"/>
                <w:lang w:val="en-US" w:eastAsia="zh-CN"/>
              </w:rPr>
              <w:t xml:space="preserve">  环境风险物质单元、设施及物质成分情况</w:t>
            </w:r>
          </w:p>
          <w:tbl>
            <w:tblPr>
              <w:tblStyle w:val="19"/>
              <w:tblW w:w="4998" w:type="pct"/>
              <w:tblInd w:w="5"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41"/>
              <w:gridCol w:w="1432"/>
              <w:gridCol w:w="1520"/>
              <w:gridCol w:w="1636"/>
              <w:gridCol w:w="1206"/>
              <w:gridCol w:w="128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4" w:hRule="atLeast"/>
              </w:trPr>
              <w:tc>
                <w:tcPr>
                  <w:tcW w:w="693" w:type="pct"/>
                  <w:vMerge w:val="restart"/>
                  <w:tcBorders>
                    <w:tl2br w:val="nil"/>
                    <w:tr2bl w:val="nil"/>
                  </w:tcBorders>
                  <w:shd w:val="clear" w:color="auto" w:fill="auto"/>
                  <w:vAlign w:val="center"/>
                </w:tcPr>
                <w:p>
                  <w:pPr>
                    <w:pStyle w:val="45"/>
                    <w:bidi w:val="0"/>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风险</w:t>
                  </w:r>
                </w:p>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单元</w:t>
                  </w:r>
                </w:p>
              </w:tc>
              <w:tc>
                <w:tcPr>
                  <w:tcW w:w="870" w:type="pct"/>
                  <w:vMerge w:val="restart"/>
                  <w:tcBorders>
                    <w:tl2br w:val="nil"/>
                    <w:tr2bl w:val="nil"/>
                  </w:tcBorders>
                  <w:shd w:val="clear" w:color="auto" w:fill="auto"/>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物质名称</w:t>
                  </w:r>
                </w:p>
              </w:tc>
              <w:tc>
                <w:tcPr>
                  <w:tcW w:w="924" w:type="pct"/>
                  <w:vMerge w:val="restart"/>
                  <w:tcBorders>
                    <w:tl2br w:val="nil"/>
                    <w:tr2bl w:val="nil"/>
                  </w:tcBorders>
                  <w:shd w:val="clear" w:color="auto" w:fill="auto"/>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风险物质成分</w:t>
                  </w:r>
                </w:p>
              </w:tc>
              <w:tc>
                <w:tcPr>
                  <w:tcW w:w="994" w:type="pct"/>
                  <w:vMerge w:val="restart"/>
                  <w:tcBorders>
                    <w:tl2br w:val="nil"/>
                    <w:tr2bl w:val="nil"/>
                  </w:tcBorders>
                  <w:shd w:val="clear" w:color="auto" w:fill="auto"/>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最大储存量q（t）</w:t>
                  </w:r>
                </w:p>
              </w:tc>
              <w:tc>
                <w:tcPr>
                  <w:tcW w:w="733" w:type="pct"/>
                  <w:tcBorders>
                    <w:tl2br w:val="nil"/>
                    <w:tr2bl w:val="nil"/>
                  </w:tcBorders>
                  <w:shd w:val="clear" w:color="auto" w:fill="auto"/>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临界量</w:t>
                  </w:r>
                </w:p>
              </w:tc>
              <w:tc>
                <w:tcPr>
                  <w:tcW w:w="783" w:type="pct"/>
                  <w:vMerge w:val="restart"/>
                  <w:tcBorders>
                    <w:tl2br w:val="nil"/>
                    <w:tr2bl w:val="nil"/>
                  </w:tcBorders>
                  <w:shd w:val="clear" w:color="auto" w:fill="auto"/>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q/Q</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9" w:hRule="atLeast"/>
              </w:trPr>
              <w:tc>
                <w:tcPr>
                  <w:tcW w:w="693" w:type="pct"/>
                  <w:vMerge w:val="continue"/>
                  <w:tcBorders>
                    <w:tl2br w:val="nil"/>
                    <w:tr2bl w:val="nil"/>
                  </w:tcBorders>
                  <w:shd w:val="clear" w:color="auto" w:fill="auto"/>
                  <w:vAlign w:val="center"/>
                </w:tcPr>
                <w:p>
                  <w:pPr>
                    <w:pStyle w:val="45"/>
                    <w:bidi w:val="0"/>
                    <w:jc w:val="both"/>
                    <w:rPr>
                      <w:rFonts w:hint="default" w:ascii="Times New Roman" w:hAnsi="Times New Roman" w:cs="Times New Roman"/>
                      <w:color w:val="auto"/>
                    </w:rPr>
                  </w:pPr>
                </w:p>
              </w:tc>
              <w:tc>
                <w:tcPr>
                  <w:tcW w:w="870" w:type="pct"/>
                  <w:vMerge w:val="continue"/>
                  <w:tcBorders>
                    <w:tl2br w:val="nil"/>
                    <w:tr2bl w:val="nil"/>
                  </w:tcBorders>
                  <w:shd w:val="clear" w:color="auto" w:fill="auto"/>
                  <w:vAlign w:val="center"/>
                </w:tcPr>
                <w:p>
                  <w:pPr>
                    <w:pStyle w:val="45"/>
                    <w:bidi w:val="0"/>
                    <w:jc w:val="both"/>
                    <w:rPr>
                      <w:rFonts w:hint="default" w:ascii="Times New Roman" w:hAnsi="Times New Roman" w:cs="Times New Roman"/>
                      <w:color w:val="auto"/>
                    </w:rPr>
                  </w:pPr>
                </w:p>
              </w:tc>
              <w:tc>
                <w:tcPr>
                  <w:tcW w:w="924" w:type="pct"/>
                  <w:vMerge w:val="continue"/>
                  <w:tcBorders>
                    <w:tl2br w:val="nil"/>
                    <w:tr2bl w:val="nil"/>
                  </w:tcBorders>
                  <w:shd w:val="clear" w:color="auto" w:fill="auto"/>
                  <w:vAlign w:val="center"/>
                </w:tcPr>
                <w:p>
                  <w:pPr>
                    <w:pStyle w:val="45"/>
                    <w:bidi w:val="0"/>
                    <w:jc w:val="both"/>
                    <w:rPr>
                      <w:rFonts w:hint="default" w:ascii="Times New Roman" w:hAnsi="Times New Roman" w:cs="Times New Roman"/>
                      <w:color w:val="auto"/>
                    </w:rPr>
                  </w:pPr>
                </w:p>
              </w:tc>
              <w:tc>
                <w:tcPr>
                  <w:tcW w:w="994" w:type="pct"/>
                  <w:vMerge w:val="continue"/>
                  <w:tcBorders>
                    <w:tl2br w:val="nil"/>
                    <w:tr2bl w:val="nil"/>
                  </w:tcBorders>
                  <w:shd w:val="clear" w:color="auto" w:fill="auto"/>
                  <w:vAlign w:val="center"/>
                </w:tcPr>
                <w:p>
                  <w:pPr>
                    <w:pStyle w:val="45"/>
                    <w:bidi w:val="0"/>
                    <w:jc w:val="both"/>
                    <w:rPr>
                      <w:rFonts w:hint="default" w:ascii="Times New Roman" w:hAnsi="Times New Roman" w:cs="Times New Roman"/>
                      <w:color w:val="auto"/>
                    </w:rPr>
                  </w:pPr>
                </w:p>
              </w:tc>
              <w:tc>
                <w:tcPr>
                  <w:tcW w:w="733" w:type="pct"/>
                  <w:tcBorders>
                    <w:tl2br w:val="nil"/>
                    <w:tr2bl w:val="nil"/>
                  </w:tcBorders>
                  <w:shd w:val="clear" w:color="auto" w:fill="auto"/>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Q（t）</w:t>
                  </w:r>
                </w:p>
              </w:tc>
              <w:tc>
                <w:tcPr>
                  <w:tcW w:w="783" w:type="pct"/>
                  <w:vMerge w:val="continue"/>
                  <w:tcBorders>
                    <w:tl2br w:val="nil"/>
                    <w:tr2bl w:val="nil"/>
                  </w:tcBorders>
                  <w:shd w:val="clear" w:color="auto" w:fill="auto"/>
                  <w:vAlign w:val="center"/>
                </w:tcPr>
                <w:p>
                  <w:pPr>
                    <w:pStyle w:val="45"/>
                    <w:bidi w:val="0"/>
                    <w:jc w:val="both"/>
                    <w:rPr>
                      <w:rFonts w:hint="default" w:ascii="Times New Roman" w:hAnsi="Times New Roman" w:cs="Times New Roman"/>
                      <w:color w:val="auto"/>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693" w:type="pct"/>
                  <w:tcBorders>
                    <w:bottom w:val="single" w:color="auto" w:sz="4" w:space="0"/>
                    <w:tl2br w:val="nil"/>
                    <w:tr2bl w:val="nil"/>
                  </w:tcBorders>
                  <w:shd w:val="clear" w:color="auto" w:fill="auto"/>
                  <w:noWrap/>
                  <w:vAlign w:val="center"/>
                </w:tcPr>
                <w:p>
                  <w:pPr>
                    <w:pStyle w:val="45"/>
                    <w:bidi w:val="0"/>
                    <w:jc w:val="both"/>
                    <w:rPr>
                      <w:rFonts w:hint="default" w:ascii="Times New Roman" w:hAnsi="Times New Roman" w:eastAsia="宋体" w:cs="Times New Roman"/>
                      <w:color w:val="auto"/>
                      <w:lang w:val="en-US" w:eastAsia="zh-CN"/>
                    </w:rPr>
                  </w:pPr>
                  <w:r>
                    <w:rPr>
                      <w:rFonts w:hint="eastAsia" w:cs="Times New Roman"/>
                      <w:color w:val="auto"/>
                      <w:lang w:val="en-US" w:eastAsia="zh-CN"/>
                    </w:rPr>
                    <w:t>油品区</w:t>
                  </w:r>
                </w:p>
              </w:tc>
              <w:tc>
                <w:tcPr>
                  <w:tcW w:w="870" w:type="pct"/>
                  <w:tcBorders>
                    <w:bottom w:val="single" w:color="auto" w:sz="4" w:space="0"/>
                    <w:tl2br w:val="nil"/>
                    <w:tr2bl w:val="nil"/>
                  </w:tcBorders>
                  <w:shd w:val="clear" w:color="auto" w:fill="auto"/>
                  <w:noWrap/>
                  <w:vAlign w:val="center"/>
                </w:tcPr>
                <w:p>
                  <w:pPr>
                    <w:pStyle w:val="45"/>
                    <w:bidi w:val="0"/>
                    <w:jc w:val="both"/>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润滑油</w:t>
                  </w:r>
                </w:p>
              </w:tc>
              <w:tc>
                <w:tcPr>
                  <w:tcW w:w="924" w:type="pct"/>
                  <w:tcBorders>
                    <w:bottom w:val="single" w:color="auto" w:sz="4" w:space="0"/>
                    <w:tl2br w:val="nil"/>
                    <w:tr2bl w:val="nil"/>
                  </w:tcBorders>
                  <w:shd w:val="clear" w:color="auto" w:fill="auto"/>
                  <w:noWrap/>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矿物油</w:t>
                  </w:r>
                </w:p>
              </w:tc>
              <w:tc>
                <w:tcPr>
                  <w:tcW w:w="994" w:type="pct"/>
                  <w:tcBorders>
                    <w:bottom w:val="single" w:color="auto" w:sz="4" w:space="0"/>
                    <w:tl2br w:val="nil"/>
                    <w:tr2bl w:val="nil"/>
                  </w:tcBorders>
                  <w:shd w:val="clear" w:color="auto" w:fill="auto"/>
                  <w:noWrap/>
                  <w:vAlign w:val="center"/>
                </w:tcPr>
                <w:p>
                  <w:pPr>
                    <w:pStyle w:val="45"/>
                    <w:bidi w:val="0"/>
                    <w:jc w:val="both"/>
                    <w:rPr>
                      <w:rFonts w:hint="default" w:ascii="Times New Roman" w:hAnsi="Times New Roman" w:cs="Times New Roman"/>
                      <w:color w:val="auto"/>
                      <w:lang w:val="en-US"/>
                    </w:rPr>
                  </w:pPr>
                  <w:r>
                    <w:rPr>
                      <w:rFonts w:hint="default" w:ascii="Times New Roman" w:hAnsi="Times New Roman" w:cs="Times New Roman"/>
                      <w:color w:val="auto"/>
                      <w:lang w:val="en-US" w:eastAsia="zh-CN"/>
                    </w:rPr>
                    <w:t>0.05</w:t>
                  </w:r>
                </w:p>
              </w:tc>
              <w:tc>
                <w:tcPr>
                  <w:tcW w:w="733" w:type="pct"/>
                  <w:tcBorders>
                    <w:tl2br w:val="nil"/>
                    <w:tr2bl w:val="nil"/>
                  </w:tcBorders>
                  <w:shd w:val="clear" w:color="auto" w:fill="auto"/>
                  <w:noWrap/>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2500</w:t>
                  </w:r>
                </w:p>
              </w:tc>
              <w:tc>
                <w:tcPr>
                  <w:tcW w:w="783" w:type="pct"/>
                  <w:tcBorders>
                    <w:tl2br w:val="nil"/>
                    <w:tr2bl w:val="nil"/>
                  </w:tcBorders>
                  <w:shd w:val="clear" w:color="auto" w:fill="auto"/>
                  <w:noWrap/>
                  <w:vAlign w:val="center"/>
                </w:tcPr>
                <w:p>
                  <w:pPr>
                    <w:pStyle w:val="45"/>
                    <w:bidi w:val="0"/>
                    <w:jc w:val="both"/>
                    <w:rPr>
                      <w:rFonts w:hint="default" w:ascii="Times New Roman" w:hAnsi="Times New Roman" w:cs="Times New Roman"/>
                      <w:color w:val="auto"/>
                    </w:rPr>
                  </w:pPr>
                  <w:r>
                    <w:rPr>
                      <w:rFonts w:hint="default" w:ascii="Times New Roman" w:hAnsi="Times New Roman" w:cs="Times New Roman"/>
                      <w:color w:val="auto"/>
                      <w:lang w:val="en-US" w:eastAsia="zh-CN"/>
                    </w:rPr>
                    <w:t>0.00002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16" w:type="pct"/>
                  <w:gridSpan w:val="5"/>
                  <w:tcBorders>
                    <w:tl2br w:val="nil"/>
                    <w:tr2bl w:val="nil"/>
                  </w:tcBorders>
                  <w:shd w:val="clear" w:color="auto" w:fill="auto"/>
                  <w:noWrap/>
                  <w:vAlign w:val="center"/>
                </w:tcPr>
                <w:p>
                  <w:pPr>
                    <w:pStyle w:val="45"/>
                    <w:bidi w:val="0"/>
                    <w:jc w:val="both"/>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合计</w:t>
                  </w:r>
                </w:p>
              </w:tc>
              <w:tc>
                <w:tcPr>
                  <w:tcW w:w="783" w:type="pct"/>
                  <w:tcBorders>
                    <w:tl2br w:val="nil"/>
                    <w:tr2bl w:val="nil"/>
                  </w:tcBorders>
                  <w:shd w:val="clear" w:color="auto" w:fill="auto"/>
                  <w:noWrap/>
                  <w:vAlign w:val="center"/>
                </w:tcPr>
                <w:p>
                  <w:pPr>
                    <w:pStyle w:val="45"/>
                    <w:bidi w:val="0"/>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0.00002</w:t>
                  </w:r>
                </w:p>
              </w:tc>
            </w:tr>
          </w:tbl>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根据上表可知，拟建项目环境风险单元为</w:t>
            </w:r>
            <w:r>
              <w:rPr>
                <w:rFonts w:hint="eastAsia" w:cs="Times New Roman"/>
                <w:color w:val="auto"/>
                <w:lang w:val="en-US" w:eastAsia="zh-CN"/>
              </w:rPr>
              <w:t>油品区</w:t>
            </w:r>
            <w:r>
              <w:rPr>
                <w:rFonts w:hint="default" w:ascii="Times New Roman" w:hAnsi="Times New Roman" w:cs="Times New Roman"/>
                <w:color w:val="auto"/>
                <w:lang w:val="en-US" w:eastAsia="zh-CN"/>
              </w:rPr>
              <w:t>。风险物质q/Q值之和为0.00002＜1。</w:t>
            </w:r>
          </w:p>
          <w:p>
            <w:pPr>
              <w:pStyle w:val="47"/>
              <w:bidi w:val="0"/>
              <w:ind w:left="0" w:leftChars="0"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6</w:t>
            </w:r>
            <w:r>
              <w:rPr>
                <w:rFonts w:hint="eastAsia" w:ascii="Times New Roman" w:hAnsi="Times New Roman" w:eastAsia="宋体" w:cs="Times New Roman"/>
                <w:color w:val="auto"/>
                <w:lang w:val="en-US" w:eastAsia="zh-CN"/>
              </w:rPr>
              <w:t>.2</w:t>
            </w:r>
            <w:r>
              <w:rPr>
                <w:rFonts w:hint="default" w:ascii="Times New Roman" w:hAnsi="Times New Roman" w:eastAsia="宋体" w:cs="Times New Roman"/>
                <w:color w:val="auto"/>
                <w:lang w:val="en-US" w:eastAsia="zh-CN"/>
              </w:rPr>
              <w:t>风险影响</w:t>
            </w:r>
            <w:r>
              <w:rPr>
                <w:rFonts w:hint="eastAsia" w:cs="Times New Roman"/>
                <w:color w:val="auto"/>
                <w:lang w:val="en-US" w:eastAsia="zh-CN"/>
              </w:rPr>
              <w:t>途径</w:t>
            </w:r>
            <w:r>
              <w:rPr>
                <w:rFonts w:hint="default" w:ascii="Times New Roman" w:hAnsi="Times New Roman" w:eastAsia="宋体" w:cs="Times New Roman"/>
                <w:color w:val="auto"/>
                <w:lang w:val="en-US" w:eastAsia="zh-CN"/>
              </w:rPr>
              <w:t>分析</w:t>
            </w:r>
          </w:p>
          <w:p>
            <w:pPr>
              <w:pStyle w:val="43"/>
              <w:bidi w:val="0"/>
              <w:rPr>
                <w:rFonts w:hint="default" w:ascii="Times New Roman" w:hAnsi="Times New Roman" w:cs="Times New Roman"/>
                <w:color w:val="auto"/>
                <w:lang w:val="en-US" w:eastAsia="zh-CN"/>
              </w:rPr>
            </w:pPr>
            <w:r>
              <w:rPr>
                <w:rFonts w:hint="default" w:ascii="Times New Roman" w:hAnsi="Times New Roman" w:eastAsia="宋体" w:cs="Times New Roman"/>
                <w:color w:val="auto"/>
                <w:lang w:val="en-US" w:eastAsia="zh-CN"/>
              </w:rPr>
              <w:t>①</w:t>
            </w:r>
            <w:r>
              <w:rPr>
                <w:rFonts w:hint="default" w:ascii="Times New Roman" w:hAnsi="Times New Roman" w:cs="Times New Roman"/>
                <w:color w:val="auto"/>
                <w:lang w:val="en-US" w:eastAsia="zh-CN"/>
              </w:rPr>
              <w:t>生产设施风险途径</w:t>
            </w:r>
          </w:p>
          <w:p>
            <w:pPr>
              <w:pStyle w:val="43"/>
              <w:bidi w:val="0"/>
              <w:rPr>
                <w:rFonts w:hint="default" w:eastAsia="宋体"/>
                <w:lang w:val="en-US" w:eastAsia="zh-CN"/>
              </w:rPr>
            </w:pPr>
            <w:r>
              <w:rPr>
                <w:rFonts w:hint="default" w:ascii="Times New Roman" w:hAnsi="Times New Roman" w:cs="Times New Roman"/>
                <w:color w:val="auto"/>
                <w:lang w:val="en-US" w:eastAsia="zh-CN"/>
              </w:rPr>
              <w:t>拟建项目所用润滑油主要用于设备润滑，在设备运行期间加入设备内特定位置，</w:t>
            </w:r>
            <w:r>
              <w:rPr>
                <w:rFonts w:hint="eastAsia"/>
                <w:lang w:val="en-US" w:eastAsia="zh-CN"/>
              </w:rPr>
              <w:t>若发生泄漏，可能对地下水造成污染。</w:t>
            </w:r>
          </w:p>
          <w:p>
            <w:pPr>
              <w:pStyle w:val="43"/>
              <w:bidi w:val="0"/>
              <w:rPr>
                <w:rFonts w:hint="default" w:ascii="Times New Roman" w:hAnsi="Times New Roman" w:cs="Times New Roman"/>
                <w:color w:val="auto"/>
                <w:lang w:val="en-US" w:eastAsia="zh-CN"/>
              </w:rPr>
            </w:pPr>
            <w:r>
              <w:rPr>
                <w:rFonts w:hint="default" w:ascii="Times New Roman" w:hAnsi="Times New Roman" w:eastAsia="宋体" w:cs="Times New Roman"/>
                <w:color w:val="auto"/>
                <w:lang w:val="en-US" w:eastAsia="zh-CN"/>
              </w:rPr>
              <w:t>②</w:t>
            </w:r>
            <w:r>
              <w:rPr>
                <w:rFonts w:hint="default" w:ascii="Times New Roman" w:hAnsi="Times New Roman" w:cs="Times New Roman"/>
                <w:color w:val="auto"/>
                <w:lang w:val="en-US" w:eastAsia="zh-CN"/>
              </w:rPr>
              <w:t>储运过程设施危险途径</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拟建项目润滑油暂存于</w:t>
            </w:r>
            <w:r>
              <w:rPr>
                <w:rFonts w:hint="eastAsia" w:cs="Times New Roman"/>
                <w:color w:val="auto"/>
                <w:lang w:val="en-US" w:eastAsia="zh-CN"/>
              </w:rPr>
              <w:t>油品区</w:t>
            </w:r>
            <w:r>
              <w:rPr>
                <w:rFonts w:hint="default" w:ascii="Times New Roman" w:hAnsi="Times New Roman" w:cs="Times New Roman"/>
                <w:color w:val="auto"/>
                <w:lang w:val="en-US" w:eastAsia="zh-CN"/>
              </w:rPr>
              <w:t>中，</w:t>
            </w:r>
            <w:r>
              <w:rPr>
                <w:rFonts w:hint="eastAsia" w:cs="Times New Roman"/>
                <w:color w:val="auto"/>
                <w:lang w:val="en-US" w:eastAsia="zh-CN"/>
              </w:rPr>
              <w:t>润滑油下方设置托盘。厂区内采用人工搬运方式进行运输，</w:t>
            </w:r>
            <w:r>
              <w:rPr>
                <w:rFonts w:hint="default" w:ascii="Times New Roman" w:hAnsi="Times New Roman" w:cs="Times New Roman"/>
                <w:color w:val="auto"/>
                <w:lang w:val="en-US" w:eastAsia="zh-CN"/>
              </w:rPr>
              <w:t>运输过程中存在泄漏、火灾以及进入道路沿线水体的风险。</w:t>
            </w:r>
          </w:p>
          <w:p>
            <w:pPr>
              <w:pStyle w:val="47"/>
              <w:bidi w:val="0"/>
              <w:ind w:left="0" w:leftChars="0"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6</w:t>
            </w:r>
            <w:r>
              <w:rPr>
                <w:rFonts w:hint="eastAsia" w:ascii="Times New Roman" w:hAnsi="Times New Roman" w:eastAsia="宋体" w:cs="Times New Roman"/>
                <w:color w:val="auto"/>
                <w:lang w:val="en-US" w:eastAsia="zh-CN"/>
              </w:rPr>
              <w:t>.3</w:t>
            </w:r>
            <w:r>
              <w:rPr>
                <w:rFonts w:hint="default" w:ascii="Times New Roman" w:hAnsi="Times New Roman" w:eastAsia="宋体" w:cs="Times New Roman"/>
                <w:color w:val="auto"/>
                <w:lang w:val="en-US" w:eastAsia="zh-CN"/>
              </w:rPr>
              <w:t>风险防范措施</w:t>
            </w:r>
          </w:p>
          <w:p>
            <w:pPr>
              <w:pStyle w:val="43"/>
              <w:bidi w:val="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①生产过程中的风险防范措施</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a. 加强设备检修，保证设备处于正常工作状态；</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b. 设置禁火标志及防静电措施等；</w:t>
            </w:r>
          </w:p>
          <w:p>
            <w:pPr>
              <w:pStyle w:val="43"/>
              <w:bidi w:val="0"/>
              <w:rPr>
                <w:rFonts w:hint="default" w:ascii="Times New Roman" w:hAnsi="Times New Roman" w:cs="Times New Roman"/>
                <w:color w:val="auto"/>
                <w:lang w:val="en-US" w:eastAsia="zh-CN"/>
              </w:rPr>
            </w:pPr>
            <w:r>
              <w:rPr>
                <w:rFonts w:hint="default" w:ascii="Times New Roman" w:hAnsi="Times New Roman" w:eastAsia="宋体" w:cs="Times New Roman"/>
                <w:color w:val="auto"/>
                <w:lang w:val="en-US" w:eastAsia="zh-CN"/>
              </w:rPr>
              <w:t>②</w:t>
            </w:r>
            <w:r>
              <w:rPr>
                <w:rFonts w:hint="default" w:ascii="Times New Roman" w:hAnsi="Times New Roman" w:cs="Times New Roman"/>
                <w:color w:val="auto"/>
                <w:lang w:val="en-US" w:eastAsia="zh-CN"/>
              </w:rPr>
              <w:t>储存过程中的防范措施</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润滑油包装桶下方设置托盘，能有效的防止润滑油泄漏。</w:t>
            </w:r>
          </w:p>
          <w:p>
            <w:pPr>
              <w:pStyle w:val="43"/>
              <w:bidi w:val="0"/>
              <w:rPr>
                <w:rFonts w:hint="default" w:ascii="Times New Roman" w:hAnsi="Times New Roman" w:cs="Times New Roman"/>
                <w:color w:val="auto"/>
                <w:lang w:val="en-US" w:eastAsia="zh-CN"/>
              </w:rPr>
            </w:pPr>
            <w:r>
              <w:rPr>
                <w:rFonts w:hint="default" w:ascii="Times New Roman" w:hAnsi="Times New Roman" w:eastAsia="宋体" w:cs="Times New Roman"/>
                <w:color w:val="auto"/>
                <w:lang w:val="en-US" w:eastAsia="zh-CN"/>
              </w:rPr>
              <w:t>③</w:t>
            </w:r>
            <w:r>
              <w:rPr>
                <w:rFonts w:hint="default" w:ascii="Times New Roman" w:hAnsi="Times New Roman" w:cs="Times New Roman"/>
                <w:color w:val="auto"/>
                <w:lang w:val="en-US" w:eastAsia="zh-CN"/>
              </w:rPr>
              <w:t>运输过程中的风险防范措施</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a. 润滑油不与易燃物混合装箱，同时运输过程严格遵守安全防火规定，并且配备防火、灭火器材。</w:t>
            </w:r>
          </w:p>
          <w:p>
            <w:pPr>
              <w:pStyle w:val="43"/>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b. 包装必须牢固，运输过程严格执行《工厂企业厂内铁路、道路运输安全规程》（GB4378 -2004）、《机动车运行安全技术条件》（GB7258-2012），运输途中注意防暴晒、防雨淋；</w:t>
            </w:r>
          </w:p>
          <w:p>
            <w:pPr>
              <w:pStyle w:val="43"/>
              <w:bidi w:val="0"/>
              <w:ind w:firstLine="420" w:firstLineChars="200"/>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auto"/>
                <w:lang w:val="en-US" w:eastAsia="zh-CN"/>
              </w:rPr>
              <w:t>c. 继续加强运输过程中的安全防火工作，运输车辆配备防火、灭火器材，严禁与易燃易爆物混合装箱运输，如发生交通事故和火灾，应立即采取急救措施并及时向当地生态环境局等有关部门报告。</w:t>
            </w:r>
          </w:p>
        </w:tc>
      </w:tr>
    </w:tbl>
    <w:p>
      <w:pPr>
        <w:adjustRightInd w:val="0"/>
        <w:snapToGrid w:val="0"/>
        <w:spacing w:line="360" w:lineRule="auto"/>
        <w:rPr>
          <w:rFonts w:hint="default" w:ascii="Times New Roman" w:hAnsi="Times New Roman" w:cs="Times New Roman"/>
          <w:b/>
          <w:color w:val="auto"/>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五、</w:t>
      </w:r>
      <w:bookmarkStart w:id="6" w:name="_Hlk54167917"/>
      <w:r>
        <w:rPr>
          <w:rFonts w:hint="default" w:ascii="Times New Roman" w:hAnsi="Times New Roman" w:eastAsia="黑体" w:cs="Times New Roman"/>
          <w:snapToGrid w:val="0"/>
          <w:color w:val="auto"/>
          <w:sz w:val="30"/>
          <w:szCs w:val="30"/>
        </w:rPr>
        <w:t>环境保护措施监督检查清单</w:t>
      </w:r>
      <w:bookmarkEnd w:id="6"/>
    </w:p>
    <w:tbl>
      <w:tblPr>
        <w:tblStyle w:val="19"/>
        <w:tblW w:w="96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545"/>
        <w:gridCol w:w="1305"/>
        <w:gridCol w:w="3000"/>
        <w:gridCol w:w="2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ind w:firstLine="0"/>
              <w:jc w:val="right"/>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eastAsia="zh-CN"/>
              </w:rPr>
              <w:t>内</w:t>
            </w:r>
            <w:r>
              <w:rPr>
                <w:rFonts w:hint="default" w:ascii="Times New Roman" w:hAnsi="Times New Roman" w:cs="Times New Roman"/>
                <w:color w:val="auto"/>
                <w:szCs w:val="21"/>
              </w:rPr>
              <w:t>容</w:t>
            </w:r>
          </w:p>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要素</w:t>
            </w:r>
          </w:p>
        </w:tc>
        <w:tc>
          <w:tcPr>
            <w:tcW w:w="1545"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排放口(编号、名称)/污染源</w:t>
            </w:r>
          </w:p>
        </w:tc>
        <w:tc>
          <w:tcPr>
            <w:tcW w:w="1305"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污染物项目</w:t>
            </w:r>
          </w:p>
        </w:tc>
        <w:tc>
          <w:tcPr>
            <w:tcW w:w="3000"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环境保护措施</w:t>
            </w:r>
          </w:p>
        </w:tc>
        <w:tc>
          <w:tcPr>
            <w:tcW w:w="2683"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1076"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大气环境</w:t>
            </w:r>
          </w:p>
        </w:tc>
        <w:tc>
          <w:tcPr>
            <w:tcW w:w="154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挤出废气、预热废气、定型废气等</w:t>
            </w:r>
          </w:p>
        </w:tc>
        <w:tc>
          <w:tcPr>
            <w:tcW w:w="130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非甲烷总烃</w:t>
            </w:r>
          </w:p>
        </w:tc>
        <w:tc>
          <w:tcPr>
            <w:tcW w:w="3000" w:type="dxa"/>
            <w:noWrap w:val="0"/>
            <w:vAlign w:val="center"/>
          </w:tcPr>
          <w:p>
            <w:pPr>
              <w:pStyle w:val="45"/>
              <w:bidi w:val="0"/>
              <w:jc w:val="both"/>
              <w:rPr>
                <w:rFonts w:hint="default" w:ascii="Times New Roman" w:hAnsi="Times New Roman" w:cs="Times New Roman"/>
                <w:color w:val="auto"/>
                <w:szCs w:val="21"/>
                <w:lang w:val="en-US" w:eastAsia="zh-CN"/>
              </w:rPr>
            </w:pPr>
            <w:r>
              <w:rPr>
                <w:rFonts w:hint="eastAsia" w:cs="Times New Roman"/>
                <w:color w:val="0000FF"/>
                <w:sz w:val="21"/>
                <w:szCs w:val="21"/>
                <w:lang w:val="en-US" w:eastAsia="zh-CN"/>
              </w:rPr>
              <w:t>4条生产线，以“PP打包带生产线+PET打包带生产线”为组合形式，生产线中</w:t>
            </w:r>
            <w:r>
              <w:rPr>
                <w:rFonts w:hint="default" w:ascii="Times New Roman" w:hAnsi="Times New Roman" w:cs="Times New Roman"/>
                <w:color w:val="0000FF"/>
                <w:sz w:val="21"/>
                <w:szCs w:val="21"/>
                <w:lang w:val="en-US" w:eastAsia="zh-CN"/>
              </w:rPr>
              <w:t>挤塑废气</w:t>
            </w:r>
            <w:r>
              <w:rPr>
                <w:rFonts w:hint="eastAsia" w:ascii="Times New Roman" w:hAnsi="Times New Roman" w:cs="Times New Roman"/>
                <w:color w:val="0000FF"/>
                <w:sz w:val="21"/>
                <w:szCs w:val="21"/>
                <w:lang w:val="en-US" w:eastAsia="zh-CN"/>
              </w:rPr>
              <w:t>、拉伸废气及定型废气</w:t>
            </w:r>
            <w:r>
              <w:rPr>
                <w:rFonts w:hint="default" w:ascii="Times New Roman" w:hAnsi="Times New Roman" w:cs="Times New Roman"/>
                <w:color w:val="0000FF"/>
                <w:sz w:val="21"/>
                <w:szCs w:val="21"/>
                <w:lang w:val="en-US" w:eastAsia="zh-CN"/>
              </w:rPr>
              <w:t>采用局部抽风</w:t>
            </w:r>
            <w:r>
              <w:rPr>
                <w:rFonts w:hint="eastAsia" w:ascii="Times New Roman" w:hAnsi="Times New Roman" w:cs="Times New Roman"/>
                <w:color w:val="0000FF"/>
                <w:sz w:val="21"/>
                <w:szCs w:val="21"/>
                <w:lang w:val="en-US" w:eastAsia="zh-CN"/>
              </w:rPr>
              <w:t>，并将上述废气</w:t>
            </w:r>
            <w:r>
              <w:rPr>
                <w:rFonts w:hint="default" w:ascii="Times New Roman" w:hAnsi="Times New Roman" w:cs="Times New Roman"/>
                <w:color w:val="0000FF"/>
                <w:sz w:val="21"/>
                <w:szCs w:val="21"/>
                <w:lang w:val="en-US" w:eastAsia="zh-CN"/>
              </w:rPr>
              <w:t>进行</w:t>
            </w:r>
            <w:r>
              <w:rPr>
                <w:rFonts w:hint="eastAsia" w:cs="Times New Roman"/>
                <w:color w:val="0000FF"/>
                <w:sz w:val="21"/>
                <w:szCs w:val="21"/>
                <w:lang w:val="en-US" w:eastAsia="zh-CN"/>
              </w:rPr>
              <w:t>合并</w:t>
            </w:r>
            <w:r>
              <w:rPr>
                <w:rFonts w:hint="default" w:ascii="Times New Roman" w:hAnsi="Times New Roman" w:cs="Times New Roman"/>
                <w:color w:val="0000FF"/>
                <w:sz w:val="21"/>
                <w:szCs w:val="21"/>
                <w:lang w:val="en-US" w:eastAsia="zh-CN"/>
              </w:rPr>
              <w:t>收集，</w:t>
            </w:r>
            <w:r>
              <w:rPr>
                <w:rFonts w:hint="eastAsia" w:ascii="Times New Roman" w:hAnsi="Times New Roman" w:cs="Times New Roman"/>
                <w:color w:val="0000FF"/>
                <w:sz w:val="21"/>
                <w:szCs w:val="21"/>
                <w:lang w:val="en-US" w:eastAsia="zh-CN"/>
              </w:rPr>
              <w:t>经由“</w:t>
            </w:r>
            <w:r>
              <w:rPr>
                <w:rFonts w:hint="default" w:ascii="Times New Roman" w:hAnsi="Times New Roman" w:cs="Times New Roman"/>
                <w:color w:val="0000FF"/>
                <w:sz w:val="21"/>
                <w:szCs w:val="21"/>
                <w:lang w:val="en-US" w:eastAsia="zh-CN"/>
              </w:rPr>
              <w:t>UV光解+活性炭吸附装置</w:t>
            </w:r>
            <w:r>
              <w:rPr>
                <w:rFonts w:hint="eastAsia" w:ascii="Times New Roman" w:hAnsi="Times New Roman" w:cs="Times New Roman"/>
                <w:color w:val="0000FF"/>
                <w:sz w:val="21"/>
                <w:szCs w:val="21"/>
                <w:lang w:val="en-US" w:eastAsia="zh-CN"/>
              </w:rPr>
              <w:t>”</w:t>
            </w:r>
            <w:r>
              <w:rPr>
                <w:rFonts w:hint="eastAsia" w:cs="Times New Roman"/>
                <w:color w:val="0000FF"/>
                <w:sz w:val="21"/>
                <w:szCs w:val="21"/>
                <w:lang w:val="en-US" w:eastAsia="zh-CN"/>
              </w:rPr>
              <w:t>（共计2套废气处理设备）</w:t>
            </w:r>
            <w:r>
              <w:rPr>
                <w:rFonts w:hint="default" w:ascii="Times New Roman" w:hAnsi="Times New Roman" w:cs="Times New Roman"/>
                <w:color w:val="0000FF"/>
                <w:sz w:val="21"/>
                <w:szCs w:val="21"/>
                <w:lang w:val="en-US" w:eastAsia="zh-CN"/>
              </w:rPr>
              <w:t>处理后，由1根</w:t>
            </w:r>
            <w:r>
              <w:rPr>
                <w:rFonts w:hint="eastAsia" w:cs="Times New Roman"/>
                <w:color w:val="0000FF"/>
                <w:sz w:val="21"/>
                <w:szCs w:val="21"/>
                <w:lang w:val="en-US" w:eastAsia="zh-CN"/>
              </w:rPr>
              <w:t>15m</w:t>
            </w:r>
            <w:r>
              <w:rPr>
                <w:rFonts w:hint="default" w:ascii="Times New Roman" w:hAnsi="Times New Roman" w:cs="Times New Roman"/>
                <w:color w:val="0000FF"/>
                <w:sz w:val="21"/>
                <w:szCs w:val="21"/>
                <w:lang w:val="en-US" w:eastAsia="zh-CN"/>
              </w:rPr>
              <w:t>高排气筒</w:t>
            </w:r>
            <w:r>
              <w:rPr>
                <w:rFonts w:hint="eastAsia" w:cs="Times New Roman"/>
                <w:color w:val="0000FF"/>
                <w:sz w:val="21"/>
                <w:szCs w:val="21"/>
                <w:lang w:val="en-US" w:eastAsia="zh-CN"/>
              </w:rPr>
              <w:t>（共计2根排气筒）</w:t>
            </w:r>
            <w:r>
              <w:rPr>
                <w:rFonts w:hint="default" w:ascii="Times New Roman" w:hAnsi="Times New Roman" w:cs="Times New Roman"/>
                <w:color w:val="0000FF"/>
                <w:sz w:val="21"/>
                <w:szCs w:val="21"/>
                <w:lang w:val="en-US" w:eastAsia="zh-CN"/>
              </w:rPr>
              <w:t>排放</w:t>
            </w:r>
          </w:p>
        </w:tc>
        <w:tc>
          <w:tcPr>
            <w:tcW w:w="2683" w:type="dxa"/>
            <w:noWrap w:val="0"/>
            <w:vAlign w:val="center"/>
          </w:tcPr>
          <w:p>
            <w:pPr>
              <w:adjustRightInd w:val="0"/>
              <w:snapToGrid w:val="0"/>
              <w:jc w:val="center"/>
              <w:rPr>
                <w:rFonts w:hint="default" w:ascii="Times New Roman" w:hAnsi="Times New Roman" w:cs="Times New Roman"/>
                <w:color w:val="auto"/>
                <w:szCs w:val="21"/>
                <w:lang w:val="en-US"/>
              </w:rPr>
            </w:pP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合成树脂工业污染物排放标准</w:t>
            </w: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GB31572</w:t>
            </w:r>
            <w:r>
              <w:rPr>
                <w:rFonts w:hint="default" w:ascii="Times New Roman" w:hAnsi="Times New Roman" w:cs="Times New Roman"/>
                <w:color w:val="auto"/>
                <w:lang w:val="zh-CN" w:eastAsia="zh-CN"/>
              </w:rPr>
              <w:t>-201</w:t>
            </w:r>
            <w:r>
              <w:rPr>
                <w:rFonts w:hint="default" w:ascii="Times New Roman" w:hAnsi="Times New Roman" w:cs="Times New Roman"/>
                <w:color w:val="auto"/>
                <w:lang w:val="en-US" w:eastAsia="zh-CN"/>
              </w:rPr>
              <w:t>5</w:t>
            </w:r>
            <w:r>
              <w:rPr>
                <w:rFonts w:hint="default" w:ascii="Times New Roman" w:hAnsi="Times New Roman" w:cs="Times New Roman"/>
                <w:color w:val="auto"/>
                <w:lang w:val="zh-CN"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76"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545"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食堂废气</w:t>
            </w:r>
          </w:p>
        </w:tc>
        <w:tc>
          <w:tcPr>
            <w:tcW w:w="1305"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油烟、非甲烷总烃</w:t>
            </w:r>
          </w:p>
        </w:tc>
        <w:tc>
          <w:tcPr>
            <w:tcW w:w="3000"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cs="Times New Roman"/>
                <w:color w:val="0000FF"/>
                <w:sz w:val="21"/>
                <w:szCs w:val="21"/>
                <w:lang w:val="en-US" w:eastAsia="zh-CN"/>
              </w:rPr>
              <w:t>食堂油烟经油烟净化器净化后伸顶排放。</w:t>
            </w:r>
          </w:p>
        </w:tc>
        <w:tc>
          <w:tcPr>
            <w:tcW w:w="2683" w:type="dxa"/>
            <w:noWrap w:val="0"/>
            <w:vAlign w:val="center"/>
          </w:tcPr>
          <w:p>
            <w:pPr>
              <w:adjustRightInd w:val="0"/>
              <w:snapToGrid w:val="0"/>
              <w:jc w:val="center"/>
              <w:rPr>
                <w:rFonts w:hint="default" w:ascii="Times New Roman" w:hAnsi="Times New Roman" w:cs="Times New Roman"/>
                <w:color w:val="auto"/>
                <w:lang w:val="zh-CN" w:eastAsia="zh-CN"/>
              </w:rPr>
            </w:pPr>
            <w:r>
              <w:rPr>
                <w:rFonts w:hint="default" w:ascii="Times New Roman" w:hAnsi="Times New Roman" w:cs="Times New Roman"/>
                <w:color w:val="auto"/>
                <w:kern w:val="0"/>
                <w:szCs w:val="21"/>
                <w:lang w:val="en-US" w:eastAsia="zh-CN"/>
              </w:rPr>
              <w:t>《餐饮业大气污染物排放标准》（DB 50/859-2018）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76"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54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厂界</w:t>
            </w:r>
          </w:p>
        </w:tc>
        <w:tc>
          <w:tcPr>
            <w:tcW w:w="1305"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非甲烷总烃</w:t>
            </w:r>
          </w:p>
        </w:tc>
        <w:tc>
          <w:tcPr>
            <w:tcW w:w="3000" w:type="dxa"/>
            <w:noWrap w:val="0"/>
            <w:vAlign w:val="center"/>
          </w:tcPr>
          <w:p>
            <w:pPr>
              <w:adjustRightInd w:val="0"/>
              <w:snapToGrid w:val="0"/>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val="en-US" w:eastAsia="zh-CN"/>
              </w:rPr>
              <w:t>自然通风</w:t>
            </w:r>
          </w:p>
        </w:tc>
        <w:tc>
          <w:tcPr>
            <w:tcW w:w="2683"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合成树脂工业污染物排放标准</w:t>
            </w:r>
            <w:r>
              <w:rPr>
                <w:rFonts w:hint="default" w:ascii="Times New Roman" w:hAnsi="Times New Roman" w:cs="Times New Roman"/>
                <w:color w:val="auto"/>
                <w:lang w:val="zh-CN" w:eastAsia="zh-CN"/>
              </w:rPr>
              <w:t>》（</w:t>
            </w:r>
            <w:r>
              <w:rPr>
                <w:rFonts w:hint="default" w:ascii="Times New Roman" w:hAnsi="Times New Roman" w:cs="Times New Roman"/>
                <w:color w:val="auto"/>
                <w:lang w:val="en-US" w:eastAsia="zh-CN"/>
              </w:rPr>
              <w:t>GB31572</w:t>
            </w:r>
            <w:r>
              <w:rPr>
                <w:rFonts w:hint="default" w:ascii="Times New Roman" w:hAnsi="Times New Roman" w:cs="Times New Roman"/>
                <w:color w:val="auto"/>
                <w:lang w:val="zh-CN" w:eastAsia="zh-CN"/>
              </w:rPr>
              <w:t>-201</w:t>
            </w:r>
            <w:r>
              <w:rPr>
                <w:rFonts w:hint="default" w:ascii="Times New Roman" w:hAnsi="Times New Roman" w:cs="Times New Roman"/>
                <w:color w:val="auto"/>
                <w:lang w:val="en-US" w:eastAsia="zh-CN"/>
              </w:rPr>
              <w:t>5</w:t>
            </w:r>
            <w:r>
              <w:rPr>
                <w:rFonts w:hint="default" w:ascii="Times New Roman" w:hAnsi="Times New Roman" w:cs="Times New Roman"/>
                <w:color w:val="auto"/>
                <w:lang w:val="zh-CN"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0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地表水环境</w:t>
            </w:r>
          </w:p>
        </w:tc>
        <w:tc>
          <w:tcPr>
            <w:tcW w:w="1545" w:type="dxa"/>
            <w:noWrap w:val="0"/>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废水</w:t>
            </w:r>
          </w:p>
        </w:tc>
        <w:tc>
          <w:tcPr>
            <w:tcW w:w="1305" w:type="dxa"/>
            <w:noWrap w:val="0"/>
            <w:vAlign w:val="center"/>
          </w:tcPr>
          <w:p>
            <w:pPr>
              <w:adjustRightInd w:val="0"/>
              <w:snapToGrid w:val="0"/>
              <w:jc w:val="center"/>
              <w:rPr>
                <w:rFonts w:hint="default" w:ascii="Times New Roman" w:hAnsi="Times New Roman" w:cs="Times New Roman"/>
                <w:color w:val="auto"/>
                <w:szCs w:val="21"/>
                <w:lang w:val="en-US"/>
              </w:rPr>
            </w:pPr>
            <w:r>
              <w:rPr>
                <w:rFonts w:hint="default" w:ascii="Times New Roman" w:hAnsi="Times New Roman" w:cs="Times New Roman"/>
                <w:color w:val="auto"/>
                <w:szCs w:val="21"/>
              </w:rPr>
              <w:t>COD</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BOD</w:t>
            </w:r>
            <w:r>
              <w:rPr>
                <w:rFonts w:hint="default" w:ascii="Times New Roman" w:hAnsi="Times New Roman" w:cs="Times New Roman"/>
                <w:color w:val="auto"/>
                <w:szCs w:val="21"/>
                <w:vertAlign w:val="subscript"/>
                <w:lang w:val="en-US" w:eastAsia="zh-CN"/>
              </w:rPr>
              <w:t>5</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rPr>
              <w:t>SS</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NH</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-N</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动植物油</w:t>
            </w:r>
          </w:p>
        </w:tc>
        <w:tc>
          <w:tcPr>
            <w:tcW w:w="3000"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经厂内隔油池及生化池</w:t>
            </w:r>
            <w:r>
              <w:rPr>
                <w:rFonts w:hint="default" w:ascii="Times New Roman" w:hAnsi="Times New Roman" w:cs="Times New Roman"/>
                <w:color w:val="auto"/>
                <w:szCs w:val="21"/>
              </w:rPr>
              <w:t>预处理后</w:t>
            </w:r>
            <w:r>
              <w:rPr>
                <w:rFonts w:hint="default" w:ascii="Times New Roman" w:hAnsi="Times New Roman" w:cs="Times New Roman"/>
                <w:color w:val="auto"/>
                <w:szCs w:val="21"/>
                <w:lang w:val="en-US" w:eastAsia="zh-CN"/>
              </w:rPr>
              <w:t>通过</w:t>
            </w:r>
            <w:r>
              <w:rPr>
                <w:rFonts w:hint="default" w:ascii="Times New Roman" w:hAnsi="Times New Roman" w:cs="Times New Roman"/>
                <w:color w:val="auto"/>
                <w:szCs w:val="21"/>
              </w:rPr>
              <w:t>市政污水管网排入</w:t>
            </w:r>
            <w:r>
              <w:rPr>
                <w:rFonts w:hint="default" w:ascii="Times New Roman" w:hAnsi="Times New Roman" w:cs="Times New Roman"/>
                <w:color w:val="auto"/>
                <w:szCs w:val="21"/>
                <w:lang w:val="en-US" w:eastAsia="zh-CN"/>
              </w:rPr>
              <w:t>双桥</w:t>
            </w:r>
            <w:r>
              <w:rPr>
                <w:rFonts w:hint="default" w:ascii="Times New Roman" w:hAnsi="Times New Roman" w:cs="Times New Roman"/>
                <w:color w:val="auto"/>
                <w:szCs w:val="21"/>
              </w:rPr>
              <w:t>污水处理厂处理</w:t>
            </w:r>
          </w:p>
        </w:tc>
        <w:tc>
          <w:tcPr>
            <w:tcW w:w="2683" w:type="dxa"/>
            <w:noWrap w:val="0"/>
            <w:vAlign w:val="center"/>
          </w:tcPr>
          <w:p>
            <w:pPr>
              <w:pStyle w:val="45"/>
              <w:bidi w:val="0"/>
              <w:ind w:firstLine="0" w:firstLineChars="0"/>
              <w:jc w:val="center"/>
              <w:rPr>
                <w:rFonts w:hint="default" w:ascii="Times New Roman" w:hAnsi="Times New Roman" w:cs="Times New Roman"/>
                <w:color w:val="auto"/>
                <w:szCs w:val="21"/>
              </w:rPr>
            </w:pPr>
            <w:r>
              <w:rPr>
                <w:rFonts w:hint="default" w:ascii="Times New Roman" w:hAnsi="Times New Roman" w:eastAsia="宋体" w:cs="Times New Roman"/>
                <w:color w:val="auto"/>
                <w:kern w:val="2"/>
                <w:sz w:val="21"/>
                <w:szCs w:val="21"/>
                <w:lang w:val="en-US" w:eastAsia="zh-CN" w:bidi="ar-SA"/>
              </w:rPr>
              <w:t>《污水综合排放标准》（GB8978-1996）三级标准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声环境</w:t>
            </w:r>
          </w:p>
        </w:tc>
        <w:tc>
          <w:tcPr>
            <w:tcW w:w="1545" w:type="dxa"/>
            <w:noWrap w:val="0"/>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生产设备</w:t>
            </w:r>
          </w:p>
        </w:tc>
        <w:tc>
          <w:tcPr>
            <w:tcW w:w="1305"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eastAsia="zh-CN"/>
              </w:rPr>
              <w:t>等效</w:t>
            </w:r>
            <w:r>
              <w:rPr>
                <w:rFonts w:hint="default" w:ascii="Times New Roman" w:hAnsi="Times New Roman" w:cs="Times New Roman"/>
                <w:color w:val="auto"/>
                <w:szCs w:val="21"/>
                <w:lang w:val="en-US" w:eastAsia="zh-CN"/>
              </w:rPr>
              <w:t>A声级</w:t>
            </w:r>
          </w:p>
        </w:tc>
        <w:tc>
          <w:tcPr>
            <w:tcW w:w="3000"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消声、墙体隔声、基础减振</w:t>
            </w:r>
            <w:r>
              <w:rPr>
                <w:rFonts w:hint="default" w:ascii="Times New Roman" w:hAnsi="Times New Roman" w:cs="Times New Roman"/>
                <w:color w:val="auto"/>
                <w:szCs w:val="21"/>
                <w:lang w:val="en-US" w:eastAsia="zh-CN"/>
              </w:rPr>
              <w:t>等</w:t>
            </w:r>
          </w:p>
        </w:tc>
        <w:tc>
          <w:tcPr>
            <w:tcW w:w="2683"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《工业企业厂界环境噪声排放标准》（GB12348-2008）3类标准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电磁辐射</w:t>
            </w:r>
          </w:p>
        </w:tc>
        <w:tc>
          <w:tcPr>
            <w:tcW w:w="1545"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c>
          <w:tcPr>
            <w:tcW w:w="1305"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c>
          <w:tcPr>
            <w:tcW w:w="3000"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c>
          <w:tcPr>
            <w:tcW w:w="2683"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固体废物</w:t>
            </w:r>
          </w:p>
        </w:tc>
        <w:tc>
          <w:tcPr>
            <w:tcW w:w="8533" w:type="dxa"/>
            <w:gridSpan w:val="4"/>
            <w:noWrap w:val="0"/>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生活垃圾交由环卫部门处理；</w:t>
            </w:r>
            <w:r>
              <w:rPr>
                <w:rFonts w:hint="eastAsia" w:cs="Times New Roman"/>
                <w:color w:val="auto"/>
                <w:szCs w:val="21"/>
                <w:lang w:val="en-US" w:eastAsia="zh-CN"/>
              </w:rPr>
              <w:t>一般工业固废</w:t>
            </w:r>
            <w:r>
              <w:rPr>
                <w:rFonts w:hint="default" w:ascii="Times New Roman" w:hAnsi="Times New Roman" w:cs="Times New Roman"/>
                <w:color w:val="auto"/>
                <w:szCs w:val="21"/>
                <w:lang w:eastAsia="zh-CN"/>
              </w:rPr>
              <w:t>集于</w:t>
            </w:r>
            <w:r>
              <w:rPr>
                <w:rFonts w:hint="default" w:ascii="Times New Roman" w:hAnsi="Times New Roman" w:cs="Times New Roman"/>
                <w:color w:val="auto"/>
                <w:szCs w:val="21"/>
                <w:lang w:val="en-US" w:eastAsia="zh-CN"/>
              </w:rPr>
              <w:t>一般固废暂存</w:t>
            </w:r>
            <w:r>
              <w:rPr>
                <w:rFonts w:hint="default" w:ascii="Times New Roman" w:hAnsi="Times New Roman" w:cs="Times New Roman"/>
                <w:color w:val="auto"/>
                <w:szCs w:val="21"/>
                <w:lang w:eastAsia="zh-CN"/>
              </w:rPr>
              <w:t>区，</w:t>
            </w:r>
            <w:r>
              <w:rPr>
                <w:rFonts w:hint="eastAsia" w:cs="Times New Roman"/>
                <w:color w:val="auto"/>
                <w:szCs w:val="21"/>
                <w:lang w:val="en-US" w:eastAsia="zh-CN"/>
              </w:rPr>
              <w:t>由废品回收单位</w:t>
            </w:r>
            <w:r>
              <w:rPr>
                <w:rFonts w:hint="default" w:ascii="Times New Roman" w:hAnsi="Times New Roman" w:cs="Times New Roman"/>
                <w:color w:val="auto"/>
                <w:szCs w:val="21"/>
                <w:lang w:eastAsia="zh-CN"/>
              </w:rPr>
              <w:t>回收</w:t>
            </w:r>
            <w:r>
              <w:rPr>
                <w:rFonts w:hint="eastAsia" w:cs="Times New Roman"/>
                <w:color w:val="auto"/>
                <w:szCs w:val="21"/>
                <w:lang w:val="en-US" w:eastAsia="zh-CN"/>
              </w:rPr>
              <w:t>利用</w:t>
            </w:r>
            <w:r>
              <w:rPr>
                <w:rFonts w:hint="default" w:ascii="Times New Roman" w:hAnsi="Times New Roman" w:cs="Times New Roman"/>
                <w:color w:val="auto"/>
                <w:szCs w:val="21"/>
                <w:lang w:eastAsia="zh-CN"/>
              </w:rPr>
              <w:t>；废活性炭</w:t>
            </w:r>
            <w:r>
              <w:rPr>
                <w:rFonts w:hint="eastAsia" w:cs="Times New Roman"/>
                <w:color w:val="auto"/>
                <w:szCs w:val="21"/>
                <w:lang w:eastAsia="zh-CN"/>
              </w:rPr>
              <w:t>、</w:t>
            </w:r>
            <w:r>
              <w:rPr>
                <w:rFonts w:hint="eastAsia" w:cs="Times New Roman"/>
                <w:color w:val="auto"/>
                <w:szCs w:val="21"/>
                <w:lang w:val="en-US" w:eastAsia="zh-CN"/>
              </w:rPr>
              <w:t>废紫光灯管</w:t>
            </w:r>
            <w:r>
              <w:rPr>
                <w:rFonts w:hint="default" w:ascii="Times New Roman" w:hAnsi="Times New Roman" w:cs="Times New Roman"/>
                <w:color w:val="auto"/>
                <w:szCs w:val="21"/>
                <w:lang w:eastAsia="zh-CN"/>
              </w:rPr>
              <w:t>收集于</w:t>
            </w:r>
            <w:r>
              <w:rPr>
                <w:rFonts w:hint="eastAsia" w:cs="Times New Roman"/>
                <w:color w:val="auto"/>
                <w:szCs w:val="21"/>
                <w:lang w:eastAsia="zh-CN"/>
              </w:rPr>
              <w:t>危废暂存区</w:t>
            </w:r>
            <w:r>
              <w:rPr>
                <w:rFonts w:hint="default" w:ascii="Times New Roman" w:hAnsi="Times New Roman" w:cs="Times New Roman"/>
                <w:color w:val="auto"/>
                <w:szCs w:val="21"/>
                <w:lang w:eastAsia="zh-CN"/>
              </w:rPr>
              <w:t>，定期交由有资质单位处理。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土壤及地下水污染防治措施</w:t>
            </w:r>
          </w:p>
        </w:tc>
        <w:tc>
          <w:tcPr>
            <w:tcW w:w="8533" w:type="dxa"/>
            <w:gridSpan w:val="4"/>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油品区、</w:t>
            </w:r>
            <w:r>
              <w:rPr>
                <w:rFonts w:hint="eastAsia" w:cs="Times New Roman"/>
                <w:color w:val="auto"/>
                <w:szCs w:val="21"/>
                <w:lang w:eastAsia="zh-CN"/>
              </w:rPr>
              <w:t>危废暂存区</w:t>
            </w:r>
            <w:r>
              <w:rPr>
                <w:rFonts w:hint="default" w:ascii="Times New Roman" w:hAnsi="Times New Roman" w:cs="Times New Roman"/>
                <w:color w:val="auto"/>
                <w:szCs w:val="21"/>
                <w:lang w:val="en-US" w:eastAsia="zh-CN"/>
              </w:rPr>
              <w:t>设为重点防渗区</w:t>
            </w:r>
            <w:r>
              <w:rPr>
                <w:rFonts w:hint="eastAsia" w:cs="Times New Roman"/>
                <w:color w:val="auto"/>
                <w:szCs w:val="21"/>
                <w:lang w:val="en-US" w:eastAsia="zh-CN"/>
              </w:rPr>
              <w:t>，油品下方设置托盘，以防止液态物料泄露至其他区域；除重点防渗区外，其余区域为简单防渗区。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生态保护措施</w:t>
            </w:r>
          </w:p>
        </w:tc>
        <w:tc>
          <w:tcPr>
            <w:tcW w:w="8533" w:type="dxa"/>
            <w:gridSpan w:val="4"/>
            <w:noWrap w:val="0"/>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076" w:type="dxa"/>
            <w:noWrap w:val="0"/>
            <w:vAlign w:val="center"/>
          </w:tcPr>
          <w:p>
            <w:pPr>
              <w:adjustRightInd w:val="0"/>
              <w:snapToGrid w:val="0"/>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环境风险</w:t>
            </w:r>
          </w:p>
          <w:p>
            <w:pPr>
              <w:adjustRightInd w:val="0"/>
              <w:snapToGrid w:val="0"/>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防范措施</w:t>
            </w:r>
          </w:p>
        </w:tc>
        <w:tc>
          <w:tcPr>
            <w:tcW w:w="8533" w:type="dxa"/>
            <w:gridSpan w:val="4"/>
            <w:noWrap w:val="0"/>
            <w:vAlign w:val="center"/>
          </w:tcPr>
          <w:p>
            <w:pPr>
              <w:adjustRightInd w:val="0"/>
              <w:snapToGrid w:val="0"/>
              <w:jc w:val="center"/>
              <w:rPr>
                <w:rFonts w:hint="default" w:ascii="Times New Roman" w:hAnsi="Times New Roman" w:eastAsia="宋体" w:cs="Times New Roman"/>
                <w:color w:val="auto"/>
                <w:szCs w:val="21"/>
                <w:lang w:eastAsia="zh-CN"/>
              </w:rPr>
            </w:pPr>
            <w:r>
              <w:rPr>
                <w:rFonts w:hint="eastAsia" w:cs="Times New Roman"/>
                <w:color w:val="auto"/>
                <w:szCs w:val="21"/>
                <w:lang w:val="en-US" w:eastAsia="zh-CN"/>
              </w:rPr>
              <w:t>油品区、</w:t>
            </w:r>
            <w:r>
              <w:rPr>
                <w:rFonts w:hint="eastAsia" w:cs="Times New Roman"/>
                <w:color w:val="auto"/>
                <w:szCs w:val="21"/>
                <w:lang w:eastAsia="zh-CN"/>
              </w:rPr>
              <w:t>危废暂存区</w:t>
            </w:r>
            <w:r>
              <w:rPr>
                <w:rFonts w:hint="default" w:ascii="Times New Roman" w:hAnsi="Times New Roman" w:cs="Times New Roman"/>
                <w:color w:val="auto"/>
                <w:szCs w:val="21"/>
                <w:lang w:val="en-US" w:eastAsia="zh-CN"/>
              </w:rPr>
              <w:t>设为重点防渗区</w:t>
            </w:r>
            <w:r>
              <w:rPr>
                <w:rFonts w:hint="eastAsia" w:cs="Times New Roman"/>
                <w:color w:val="auto"/>
                <w:szCs w:val="21"/>
                <w:lang w:val="en-US" w:eastAsia="zh-CN"/>
              </w:rPr>
              <w:t>，油品下方设置托盘，以防止液态物料泄露。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noWrap w:val="0"/>
            <w:vAlign w:val="center"/>
          </w:tcPr>
          <w:p>
            <w:pPr>
              <w:adjustRightInd w:val="0"/>
              <w:snapToGrid w:val="0"/>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其他环境</w:t>
            </w:r>
          </w:p>
          <w:p>
            <w:pPr>
              <w:adjustRightInd w:val="0"/>
              <w:snapToGrid w:val="0"/>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管理要求</w:t>
            </w:r>
          </w:p>
        </w:tc>
        <w:tc>
          <w:tcPr>
            <w:tcW w:w="8533" w:type="dxa"/>
            <w:gridSpan w:val="4"/>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w:t>
            </w:r>
          </w:p>
        </w:tc>
      </w:tr>
    </w:tbl>
    <w:p>
      <w:pPr>
        <w:rPr>
          <w:rFonts w:hint="default" w:ascii="Times New Roman" w:hAnsi="Times New Roman" w:cs="Times New Roman"/>
          <w:color w:val="auto"/>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6"/>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六、结论</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综上所述</w:t>
            </w:r>
            <w:r>
              <w:rPr>
                <w:rFonts w:hint="default" w:ascii="Times New Roman" w:hAnsi="Times New Roman" w:eastAsia="宋体" w:cs="Times New Roman"/>
                <w:color w:val="auto"/>
                <w:kern w:val="2"/>
                <w:sz w:val="21"/>
                <w:szCs w:val="21"/>
                <w:lang w:val="en-US" w:eastAsia="zh-CN" w:bidi="ar-SA"/>
              </w:rPr>
              <w:t>，重庆博通工具制造有限公司</w:t>
            </w:r>
            <w:r>
              <w:rPr>
                <w:rFonts w:hint="eastAsia" w:ascii="Times New Roman" w:hAnsi="Times New Roman" w:eastAsia="宋体" w:cs="Times New Roman"/>
                <w:color w:val="auto"/>
                <w:kern w:val="2"/>
                <w:sz w:val="21"/>
                <w:szCs w:val="21"/>
                <w:lang w:val="en-US" w:eastAsia="zh-CN" w:bidi="ar-SA"/>
              </w:rPr>
              <w:t>包装配套材料生产</w:t>
            </w:r>
            <w:r>
              <w:rPr>
                <w:rFonts w:hint="default" w:ascii="Times New Roman" w:hAnsi="Times New Roman" w:eastAsia="宋体" w:cs="Times New Roman"/>
                <w:color w:val="auto"/>
                <w:kern w:val="2"/>
                <w:sz w:val="21"/>
                <w:szCs w:val="21"/>
                <w:lang w:val="en-US" w:eastAsia="zh-CN" w:bidi="ar-SA"/>
              </w:rPr>
              <w:t>项目</w:t>
            </w:r>
            <w:r>
              <w:rPr>
                <w:rFonts w:hint="eastAsia" w:ascii="Times New Roman" w:hAnsi="Times New Roman" w:eastAsia="宋体" w:cs="Times New Roman"/>
                <w:color w:val="auto"/>
                <w:kern w:val="2"/>
                <w:sz w:val="21"/>
                <w:szCs w:val="21"/>
                <w:lang w:val="en-US" w:eastAsia="zh-CN" w:bidi="ar-SA"/>
              </w:rPr>
              <w:t>符合产业政策、环保规划、环境准入、《</w:t>
            </w:r>
            <w:r>
              <w:rPr>
                <w:rFonts w:hint="default" w:ascii="Times New Roman" w:hAnsi="Times New Roman" w:eastAsia="宋体" w:cs="Times New Roman"/>
                <w:color w:val="auto"/>
                <w:kern w:val="2"/>
                <w:sz w:val="21"/>
                <w:szCs w:val="21"/>
                <w:lang w:val="en-US" w:eastAsia="zh-CN" w:bidi="ar-SA"/>
              </w:rPr>
              <w:t>双桥工业园区控制性详细规划（整合）环境影响报告书</w:t>
            </w:r>
            <w:r>
              <w:rPr>
                <w:rFonts w:hint="eastAsia" w:ascii="Times New Roman" w:hAnsi="Times New Roman" w:eastAsia="宋体" w:cs="Times New Roman"/>
                <w:color w:val="auto"/>
                <w:kern w:val="2"/>
                <w:sz w:val="21"/>
                <w:szCs w:val="21"/>
                <w:lang w:val="en-US" w:eastAsia="zh-CN" w:bidi="ar-SA"/>
              </w:rPr>
              <w:t>》以及其审查意见的要求</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cs="Times New Roman"/>
                <w:color w:val="auto"/>
                <w:kern w:val="2"/>
                <w:sz w:val="21"/>
                <w:szCs w:val="21"/>
                <w:lang w:val="en-US" w:eastAsia="zh-CN" w:bidi="ar-SA"/>
              </w:rPr>
              <w:t>拟建</w:t>
            </w:r>
            <w:r>
              <w:rPr>
                <w:rFonts w:hint="default" w:ascii="Times New Roman" w:hAnsi="Times New Roman" w:eastAsia="宋体" w:cs="Times New Roman"/>
                <w:color w:val="auto"/>
                <w:kern w:val="2"/>
                <w:sz w:val="21"/>
                <w:szCs w:val="21"/>
                <w:lang w:val="en-US" w:eastAsia="zh-CN" w:bidi="ar-SA"/>
              </w:rPr>
              <w:t>项目建设具有较明显的社会综合效益；</w:t>
            </w:r>
            <w:r>
              <w:rPr>
                <w:rFonts w:hint="eastAsia" w:ascii="Times New Roman" w:hAnsi="Times New Roman" w:eastAsia="宋体" w:cs="Times New Roman"/>
                <w:color w:val="auto"/>
                <w:kern w:val="2"/>
                <w:sz w:val="21"/>
                <w:szCs w:val="21"/>
                <w:lang w:val="en-US" w:eastAsia="zh-CN" w:bidi="ar-SA"/>
              </w:rPr>
              <w:t>建设单位在严格遵守环境保护“三同时”管理制度，切实落实本评价提出的各项环境保护措施、环境风险防范措施后，对所在区域的环境影响较小，环境风险可控。</w:t>
            </w:r>
            <w:r>
              <w:rPr>
                <w:rFonts w:hint="default" w:ascii="Times New Roman" w:hAnsi="Times New Roman" w:eastAsia="宋体" w:cs="Times New Roman"/>
                <w:color w:val="auto"/>
                <w:kern w:val="2"/>
                <w:sz w:val="21"/>
                <w:szCs w:val="21"/>
                <w:lang w:val="en-US" w:eastAsia="zh-CN" w:bidi="ar-SA"/>
              </w:rPr>
              <w:t>从环境保护角度</w:t>
            </w:r>
            <w:r>
              <w:rPr>
                <w:rFonts w:hint="eastAsia" w:ascii="Times New Roman" w:hAnsi="Times New Roman" w:eastAsia="宋体" w:cs="Times New Roman"/>
                <w:color w:val="auto"/>
                <w:kern w:val="2"/>
                <w:sz w:val="21"/>
                <w:szCs w:val="21"/>
                <w:lang w:val="en-US" w:eastAsia="zh-CN" w:bidi="ar-SA"/>
              </w:rPr>
              <w:t>分析</w:t>
            </w:r>
            <w:r>
              <w:rPr>
                <w:rFonts w:hint="default" w:ascii="Times New Roman" w:hAnsi="Times New Roman" w:eastAsia="宋体" w:cs="Times New Roman"/>
                <w:color w:val="auto"/>
                <w:kern w:val="2"/>
                <w:sz w:val="21"/>
                <w:szCs w:val="21"/>
                <w:lang w:val="en-US" w:eastAsia="zh-CN" w:bidi="ar-SA"/>
              </w:rPr>
              <w:t>，项目建设可行。</w:t>
            </w:r>
          </w:p>
          <w:p>
            <w:pPr>
              <w:pStyle w:val="43"/>
              <w:bidi w:val="0"/>
              <w:jc w:val="both"/>
              <w:rPr>
                <w:rFonts w:hint="default" w:ascii="Times New Roman" w:hAnsi="Times New Roman" w:cs="Times New Roman"/>
                <w:color w:val="auto"/>
              </w:rPr>
            </w:pPr>
          </w:p>
        </w:tc>
      </w:tr>
    </w:tbl>
    <w:p>
      <w:pPr>
        <w:rPr>
          <w:rFonts w:hint="default" w:ascii="Times New Roman" w:hAnsi="Times New Roman" w:cs="Times New Roman"/>
          <w:color w:val="0000FF"/>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6"/>
        <w:adjustRightInd w:val="0"/>
        <w:snapToGrid w:val="0"/>
        <w:spacing w:before="0" w:beforeAutospacing="0" w:after="0" w:afterAutospacing="0" w:line="648" w:lineRule="auto"/>
        <w:outlineLvl w:val="0"/>
        <w:rPr>
          <w:rFonts w:hint="default" w:ascii="Times New Roman" w:hAnsi="Times New Roman" w:eastAsia="黑体" w:cs="Times New Roman"/>
          <w:snapToGrid w:val="0"/>
          <w:color w:val="auto"/>
          <w:sz w:val="32"/>
          <w:szCs w:val="32"/>
        </w:rPr>
      </w:pPr>
      <w:r>
        <w:rPr>
          <w:rFonts w:hint="default" w:ascii="Times New Roman" w:hAnsi="Times New Roman" w:eastAsia="黑体" w:cs="Times New Roman"/>
          <w:snapToGrid w:val="0"/>
          <w:color w:val="auto"/>
          <w:sz w:val="32"/>
          <w:szCs w:val="32"/>
        </w:rPr>
        <w:t>附表</w:t>
      </w:r>
    </w:p>
    <w:p>
      <w:pPr>
        <w:pStyle w:val="16"/>
        <w:adjustRightInd w:val="0"/>
        <w:snapToGrid w:val="0"/>
        <w:spacing w:before="0" w:beforeAutospacing="0" w:after="0" w:afterAutospacing="0" w:line="552" w:lineRule="auto"/>
        <w:jc w:val="center"/>
        <w:outlineLvl w:val="0"/>
        <w:rPr>
          <w:rFonts w:hint="default" w:ascii="Times New Roman" w:hAnsi="Times New Roman" w:eastAsia="方正小标宋_GBK" w:cs="Times New Roman"/>
          <w:snapToGrid w:val="0"/>
          <w:color w:val="auto"/>
          <w:sz w:val="38"/>
          <w:szCs w:val="38"/>
        </w:rPr>
      </w:pPr>
      <w:r>
        <w:rPr>
          <w:rFonts w:hint="default" w:ascii="Times New Roman" w:hAnsi="Times New Roman" w:eastAsia="方正小标宋_GBK" w:cs="Times New Roman"/>
          <w:snapToGrid w:val="0"/>
          <w:color w:val="auto"/>
          <w:sz w:val="38"/>
          <w:szCs w:val="38"/>
        </w:rPr>
        <w:t>建设项目污染物排放量汇总表</w:t>
      </w:r>
    </w:p>
    <w:tbl>
      <w:tblPr>
        <w:tblStyle w:val="19"/>
        <w:tblW w:w="14459" w:type="dxa"/>
        <w:tblInd w:w="-34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212"/>
        <w:gridCol w:w="1701"/>
        <w:gridCol w:w="1276"/>
        <w:gridCol w:w="1701"/>
        <w:gridCol w:w="1559"/>
        <w:gridCol w:w="1761"/>
        <w:gridCol w:w="2059"/>
        <w:gridCol w:w="10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tcBorders>
              <w:tl2br w:val="single" w:color="auto" w:sz="4" w:space="0"/>
            </w:tcBorders>
            <w:noWrap w:val="0"/>
            <w:tcMar>
              <w:left w:w="28" w:type="dxa"/>
              <w:right w:w="28" w:type="dxa"/>
            </w:tcMar>
            <w:vAlign w:val="center"/>
          </w:tcPr>
          <w:p>
            <w:pPr>
              <w:pStyle w:val="38"/>
              <w:spacing w:beforeLines="0" w:afterLines="0" w:line="240" w:lineRule="auto"/>
              <w:jc w:val="righ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项目</w:t>
            </w:r>
          </w:p>
          <w:p>
            <w:pPr>
              <w:pStyle w:val="38"/>
              <w:spacing w:beforeLines="0" w:afterLines="0" w:line="240" w:lineRule="auto"/>
              <w:jc w:val="lef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分类</w:t>
            </w:r>
          </w:p>
        </w:tc>
        <w:tc>
          <w:tcPr>
            <w:tcW w:w="2212"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污染物名称</w:t>
            </w:r>
          </w:p>
        </w:tc>
        <w:tc>
          <w:tcPr>
            <w:tcW w:w="1701"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现有工程</w:t>
            </w:r>
          </w:p>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1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①</w:t>
            </w:r>
            <w:r>
              <w:rPr>
                <w:rFonts w:hint="default" w:ascii="Times New Roman" w:hAnsi="Times New Roman" w:eastAsia="黑体" w:cs="Times New Roman"/>
                <w:snapToGrid w:val="0"/>
                <w:color w:val="auto"/>
                <w:spacing w:val="-6"/>
                <w:kern w:val="21"/>
                <w:szCs w:val="21"/>
              </w:rPr>
              <w:fldChar w:fldCharType="end"/>
            </w:r>
          </w:p>
        </w:tc>
        <w:tc>
          <w:tcPr>
            <w:tcW w:w="1276"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现有工程</w:t>
            </w:r>
          </w:p>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许可排放量</w:t>
            </w:r>
          </w:p>
          <w:p>
            <w:pPr>
              <w:pStyle w:val="38"/>
              <w:spacing w:beforeLines="0" w:afterLines="0"/>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2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snapToGrid w:val="0"/>
                <w:color w:val="auto"/>
                <w:spacing w:val="-6"/>
                <w:kern w:val="21"/>
                <w:szCs w:val="21"/>
              </w:rPr>
              <w:t>②</w:t>
            </w:r>
            <w:r>
              <w:rPr>
                <w:rFonts w:hint="default" w:ascii="Times New Roman" w:hAnsi="Times New Roman" w:eastAsia="黑体" w:cs="Times New Roman"/>
                <w:snapToGrid w:val="0"/>
                <w:color w:val="auto"/>
                <w:spacing w:val="-6"/>
                <w:kern w:val="21"/>
                <w:szCs w:val="21"/>
              </w:rPr>
              <w:fldChar w:fldCharType="end"/>
            </w:r>
          </w:p>
        </w:tc>
        <w:tc>
          <w:tcPr>
            <w:tcW w:w="1701"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在建工程</w:t>
            </w:r>
          </w:p>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3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③</w:t>
            </w:r>
            <w:r>
              <w:rPr>
                <w:rFonts w:hint="default" w:ascii="Times New Roman" w:hAnsi="Times New Roman" w:eastAsia="黑体" w:cs="Times New Roman"/>
                <w:snapToGrid w:val="0"/>
                <w:color w:val="auto"/>
                <w:spacing w:val="-6"/>
                <w:kern w:val="21"/>
                <w:szCs w:val="21"/>
              </w:rPr>
              <w:fldChar w:fldCharType="end"/>
            </w:r>
          </w:p>
        </w:tc>
        <w:tc>
          <w:tcPr>
            <w:tcW w:w="1559"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本项目</w:t>
            </w:r>
          </w:p>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4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④</w:t>
            </w:r>
            <w:r>
              <w:rPr>
                <w:rFonts w:hint="default" w:ascii="Times New Roman" w:hAnsi="Times New Roman" w:eastAsia="黑体" w:cs="Times New Roman"/>
                <w:snapToGrid w:val="0"/>
                <w:color w:val="auto"/>
                <w:spacing w:val="-6"/>
                <w:kern w:val="21"/>
                <w:szCs w:val="21"/>
              </w:rPr>
              <w:fldChar w:fldCharType="end"/>
            </w:r>
          </w:p>
        </w:tc>
        <w:tc>
          <w:tcPr>
            <w:tcW w:w="1761"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以新带老削减量</w:t>
            </w:r>
          </w:p>
          <w:p>
            <w:pPr>
              <w:pStyle w:val="38"/>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（新建项目不填）</w:t>
            </w:r>
            <w:r>
              <w:rPr>
                <w:rFonts w:hint="default" w:ascii="Times New Roman" w:hAnsi="Times New Roman" w:eastAsia="黑体" w:cs="Times New Roman"/>
                <w:snapToGrid w:val="0"/>
                <w:color w:val="auto"/>
                <w:spacing w:val="-16"/>
                <w:kern w:val="21"/>
                <w:szCs w:val="21"/>
              </w:rPr>
              <w:fldChar w:fldCharType="begin"/>
            </w:r>
            <w:r>
              <w:rPr>
                <w:rFonts w:hint="default" w:ascii="Times New Roman" w:hAnsi="Times New Roman" w:eastAsia="黑体" w:cs="Times New Roman"/>
                <w:snapToGrid w:val="0"/>
                <w:color w:val="auto"/>
                <w:spacing w:val="-16"/>
                <w:kern w:val="21"/>
                <w:szCs w:val="21"/>
              </w:rPr>
              <w:instrText xml:space="preserve"> = 5 \* GB3 \* MERGEFORMAT </w:instrText>
            </w:r>
            <w:r>
              <w:rPr>
                <w:rFonts w:hint="default" w:ascii="Times New Roman" w:hAnsi="Times New Roman" w:eastAsia="黑体" w:cs="Times New Roman"/>
                <w:snapToGrid w:val="0"/>
                <w:color w:val="auto"/>
                <w:spacing w:val="-16"/>
                <w:kern w:val="21"/>
                <w:szCs w:val="21"/>
              </w:rPr>
              <w:fldChar w:fldCharType="separate"/>
            </w:r>
            <w:r>
              <w:rPr>
                <w:rFonts w:hint="default" w:ascii="Times New Roman" w:hAnsi="Times New Roman" w:eastAsia="黑体" w:cs="Times New Roman"/>
                <w:color w:val="auto"/>
                <w:kern w:val="2"/>
                <w:szCs w:val="21"/>
              </w:rPr>
              <w:t>⑤</w:t>
            </w:r>
            <w:r>
              <w:rPr>
                <w:rFonts w:hint="default" w:ascii="Times New Roman" w:hAnsi="Times New Roman" w:eastAsia="黑体" w:cs="Times New Roman"/>
                <w:snapToGrid w:val="0"/>
                <w:color w:val="auto"/>
                <w:spacing w:val="-16"/>
                <w:kern w:val="21"/>
                <w:szCs w:val="21"/>
              </w:rPr>
              <w:fldChar w:fldCharType="end"/>
            </w:r>
          </w:p>
        </w:tc>
        <w:tc>
          <w:tcPr>
            <w:tcW w:w="2059"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本项目建成后</w:t>
            </w:r>
          </w:p>
          <w:p>
            <w:pPr>
              <w:pStyle w:val="38"/>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全厂排放量（固体废物产生量）</w:t>
            </w:r>
            <w:r>
              <w:rPr>
                <w:rFonts w:hint="default" w:ascii="Times New Roman" w:hAnsi="Times New Roman" w:eastAsia="黑体" w:cs="Times New Roman"/>
                <w:snapToGrid w:val="0"/>
                <w:color w:val="auto"/>
                <w:spacing w:val="-16"/>
                <w:kern w:val="21"/>
                <w:szCs w:val="21"/>
              </w:rPr>
              <w:fldChar w:fldCharType="begin"/>
            </w:r>
            <w:r>
              <w:rPr>
                <w:rFonts w:hint="default" w:ascii="Times New Roman" w:hAnsi="Times New Roman" w:eastAsia="黑体" w:cs="Times New Roman"/>
                <w:snapToGrid w:val="0"/>
                <w:color w:val="auto"/>
                <w:spacing w:val="-16"/>
                <w:kern w:val="21"/>
                <w:szCs w:val="21"/>
              </w:rPr>
              <w:instrText xml:space="preserve"> = 6 \* GB3 \* MERGEFORMAT </w:instrText>
            </w:r>
            <w:r>
              <w:rPr>
                <w:rFonts w:hint="default" w:ascii="Times New Roman" w:hAnsi="Times New Roman" w:eastAsia="黑体" w:cs="Times New Roman"/>
                <w:snapToGrid w:val="0"/>
                <w:color w:val="auto"/>
                <w:spacing w:val="-16"/>
                <w:kern w:val="21"/>
                <w:szCs w:val="21"/>
              </w:rPr>
              <w:fldChar w:fldCharType="separate"/>
            </w:r>
            <w:r>
              <w:rPr>
                <w:rFonts w:hint="default" w:ascii="Times New Roman" w:hAnsi="Times New Roman" w:eastAsia="黑体" w:cs="Times New Roman"/>
                <w:color w:val="auto"/>
                <w:kern w:val="2"/>
                <w:szCs w:val="21"/>
              </w:rPr>
              <w:t>⑥</w:t>
            </w:r>
            <w:r>
              <w:rPr>
                <w:rFonts w:hint="default" w:ascii="Times New Roman" w:hAnsi="Times New Roman" w:eastAsia="黑体" w:cs="Times New Roman"/>
                <w:snapToGrid w:val="0"/>
                <w:color w:val="auto"/>
                <w:spacing w:val="-16"/>
                <w:kern w:val="21"/>
                <w:szCs w:val="21"/>
              </w:rPr>
              <w:fldChar w:fldCharType="end"/>
            </w:r>
          </w:p>
        </w:tc>
        <w:tc>
          <w:tcPr>
            <w:tcW w:w="1050" w:type="dxa"/>
            <w:noWrap w:val="0"/>
            <w:tcMar>
              <w:left w:w="28" w:type="dxa"/>
              <w:right w:w="28" w:type="dxa"/>
            </w:tcMar>
            <w:vAlign w:val="center"/>
          </w:tcPr>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变化量</w:t>
            </w:r>
          </w:p>
          <w:p>
            <w:pPr>
              <w:pStyle w:val="38"/>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7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⑦</w:t>
            </w:r>
            <w:r>
              <w:rPr>
                <w:rFonts w:hint="default" w:ascii="Times New Roman" w:hAnsi="Times New Roman" w:eastAsia="黑体" w:cs="Times New Roman"/>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restart"/>
            <w:noWrap w:val="0"/>
            <w:vAlign w:val="center"/>
          </w:tcPr>
          <w:p>
            <w:pPr>
              <w:pStyle w:val="38"/>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废气</w:t>
            </w:r>
          </w:p>
        </w:tc>
        <w:tc>
          <w:tcPr>
            <w:tcW w:w="22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挥发性有机物</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0.45</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2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0.45</w:t>
            </w:r>
          </w:p>
        </w:tc>
        <w:tc>
          <w:tcPr>
            <w:tcW w:w="10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0.45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continue"/>
            <w:noWrap w:val="0"/>
            <w:vAlign w:val="center"/>
          </w:tcPr>
          <w:p>
            <w:pPr>
              <w:pStyle w:val="38"/>
              <w:spacing w:beforeLines="0" w:afterLines="0" w:line="240" w:lineRule="auto"/>
              <w:rPr>
                <w:rFonts w:hint="default" w:ascii="Times New Roman" w:hAnsi="Times New Roman" w:cs="Times New Roman"/>
                <w:snapToGrid w:val="0"/>
                <w:color w:val="auto"/>
                <w:kern w:val="21"/>
                <w:szCs w:val="21"/>
              </w:rPr>
            </w:pPr>
          </w:p>
        </w:tc>
        <w:tc>
          <w:tcPr>
            <w:tcW w:w="22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2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c>
          <w:tcPr>
            <w:tcW w:w="10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restart"/>
            <w:noWrap w:val="0"/>
            <w:vAlign w:val="center"/>
          </w:tcPr>
          <w:p>
            <w:pPr>
              <w:pStyle w:val="38"/>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废水</w:t>
            </w:r>
          </w:p>
        </w:tc>
        <w:tc>
          <w:tcPr>
            <w:tcW w:w="2212"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COD</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559"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0.0243</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2059"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0.0243</w:t>
            </w:r>
          </w:p>
        </w:tc>
        <w:tc>
          <w:tcPr>
            <w:tcW w:w="1050"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0.0243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continue"/>
            <w:noWrap w:val="0"/>
            <w:vAlign w:val="center"/>
          </w:tcPr>
          <w:p>
            <w:pPr>
              <w:pStyle w:val="38"/>
              <w:spacing w:beforeLines="0" w:afterLines="0" w:line="240" w:lineRule="auto"/>
              <w:rPr>
                <w:rFonts w:hint="default" w:ascii="Times New Roman" w:hAnsi="Times New Roman" w:cs="Times New Roman"/>
                <w:snapToGrid w:val="0"/>
                <w:color w:val="auto"/>
                <w:kern w:val="21"/>
                <w:szCs w:val="21"/>
              </w:rPr>
            </w:pPr>
          </w:p>
        </w:tc>
        <w:tc>
          <w:tcPr>
            <w:tcW w:w="2212" w:type="dxa"/>
            <w:noWrap w:val="0"/>
            <w:vAlign w:val="center"/>
          </w:tcPr>
          <w:p>
            <w:pPr>
              <w:pStyle w:val="38"/>
              <w:spacing w:beforeLines="0" w:afterLines="0" w:line="240" w:lineRule="auto"/>
              <w:jc w:val="center"/>
              <w:rPr>
                <w:rFonts w:hint="eastAsia" w:ascii="Times New Roman"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NH</w:t>
            </w:r>
            <w:r>
              <w:rPr>
                <w:rFonts w:hint="default" w:ascii="Times New Roman" w:hAnsi="Times New Roman" w:eastAsia="宋体" w:cs="Times New Roman"/>
                <w:snapToGrid w:val="0"/>
                <w:color w:val="auto"/>
                <w:kern w:val="21"/>
                <w:sz w:val="21"/>
                <w:szCs w:val="21"/>
                <w:vertAlign w:val="subscript"/>
                <w:lang w:val="en-US" w:eastAsia="zh-CN" w:bidi="ar-SA"/>
              </w:rPr>
              <w:t>3</w:t>
            </w:r>
            <w:r>
              <w:rPr>
                <w:rFonts w:hint="default" w:ascii="Times New Roman" w:hAnsi="Times New Roman" w:eastAsia="宋体" w:cs="Times New Roman"/>
                <w:snapToGrid w:val="0"/>
                <w:color w:val="auto"/>
                <w:kern w:val="21"/>
                <w:sz w:val="21"/>
                <w:szCs w:val="21"/>
                <w:lang w:val="en-US" w:eastAsia="zh-CN" w:bidi="ar-SA"/>
              </w:rPr>
              <w:t>-N</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559"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0.0024</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2059"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0.0024</w:t>
            </w:r>
          </w:p>
        </w:tc>
        <w:tc>
          <w:tcPr>
            <w:tcW w:w="1050"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restart"/>
            <w:noWrap w:val="0"/>
            <w:vAlign w:val="center"/>
          </w:tcPr>
          <w:p>
            <w:pPr>
              <w:pStyle w:val="38"/>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一般工业固体废物</w:t>
            </w:r>
          </w:p>
        </w:tc>
        <w:tc>
          <w:tcPr>
            <w:tcW w:w="22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废包装袋</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0.5</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0</w:t>
            </w:r>
          </w:p>
        </w:tc>
        <w:tc>
          <w:tcPr>
            <w:tcW w:w="2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0.5</w:t>
            </w:r>
          </w:p>
        </w:tc>
        <w:tc>
          <w:tcPr>
            <w:tcW w:w="10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continue"/>
            <w:noWrap w:val="0"/>
            <w:vAlign w:val="center"/>
          </w:tcPr>
          <w:p>
            <w:pPr>
              <w:pStyle w:val="38"/>
              <w:spacing w:beforeLines="0" w:afterLines="0" w:line="240" w:lineRule="auto"/>
              <w:rPr>
                <w:rFonts w:hint="default" w:ascii="Times New Roman" w:hAnsi="Times New Roman" w:cs="Times New Roman"/>
                <w:color w:val="auto"/>
              </w:rPr>
            </w:pPr>
          </w:p>
        </w:tc>
        <w:tc>
          <w:tcPr>
            <w:tcW w:w="22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w:t>
            </w:r>
          </w:p>
        </w:tc>
        <w:tc>
          <w:tcPr>
            <w:tcW w:w="2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c>
          <w:tcPr>
            <w:tcW w:w="10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restart"/>
            <w:noWrap w:val="0"/>
            <w:vAlign w:val="center"/>
          </w:tcPr>
          <w:p>
            <w:pPr>
              <w:pStyle w:val="38"/>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危险废物</w:t>
            </w:r>
          </w:p>
        </w:tc>
        <w:tc>
          <w:tcPr>
            <w:tcW w:w="22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bidi="ar-SA"/>
              </w:rPr>
              <w:t>废活性炭</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snapToGrid w:val="0"/>
                <w:color w:val="auto"/>
                <w:kern w:val="21"/>
                <w:sz w:val="21"/>
                <w:szCs w:val="21"/>
                <w:lang w:val="en-US" w:eastAsia="zh-CN" w:bidi="ar-SA"/>
              </w:rPr>
              <w:t>0</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snapToGrid w:val="0"/>
                <w:color w:val="auto"/>
                <w:kern w:val="21"/>
                <w:sz w:val="21"/>
                <w:szCs w:val="21"/>
                <w:lang w:val="en-US" w:eastAsia="zh-CN" w:bidi="ar-SA"/>
              </w:rPr>
              <w:t>0</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snapToGrid w:val="0"/>
                <w:color w:val="auto"/>
                <w:kern w:val="21"/>
                <w:sz w:val="21"/>
                <w:szCs w:val="21"/>
                <w:lang w:val="en-US" w:eastAsia="zh-CN" w:bidi="ar-SA"/>
              </w:rPr>
              <w:t>0</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3</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snapToGrid w:val="0"/>
                <w:color w:val="auto"/>
                <w:kern w:val="21"/>
                <w:sz w:val="21"/>
                <w:szCs w:val="21"/>
                <w:lang w:val="en-US" w:eastAsia="zh-CN" w:bidi="ar-SA"/>
              </w:rPr>
              <w:t>0</w:t>
            </w:r>
          </w:p>
        </w:tc>
        <w:tc>
          <w:tcPr>
            <w:tcW w:w="2059"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3</w:t>
            </w:r>
          </w:p>
        </w:tc>
        <w:tc>
          <w:tcPr>
            <w:tcW w:w="1050"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0" w:type="dxa"/>
            <w:vMerge w:val="continue"/>
            <w:noWrap w:val="0"/>
            <w:vAlign w:val="center"/>
          </w:tcPr>
          <w:p>
            <w:pPr>
              <w:pStyle w:val="38"/>
              <w:spacing w:beforeLines="0" w:afterLines="0" w:line="240" w:lineRule="auto"/>
              <w:rPr>
                <w:rFonts w:hint="default" w:ascii="Times New Roman" w:hAnsi="Times New Roman" w:cs="Times New Roman"/>
                <w:snapToGrid w:val="0"/>
                <w:color w:val="auto"/>
                <w:kern w:val="21"/>
                <w:szCs w:val="21"/>
              </w:rPr>
            </w:pPr>
          </w:p>
        </w:tc>
        <w:tc>
          <w:tcPr>
            <w:tcW w:w="22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Times New Roman"/>
                <w:snapToGrid w:val="0"/>
                <w:color w:val="auto"/>
                <w:kern w:val="21"/>
                <w:sz w:val="21"/>
                <w:szCs w:val="21"/>
                <w:lang w:val="en-US" w:eastAsia="zh-CN" w:bidi="ar-SA"/>
              </w:rPr>
              <w:t>废紫外灯管</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snapToGrid w:val="0"/>
                <w:color w:val="auto"/>
                <w:kern w:val="21"/>
                <w:sz w:val="21"/>
                <w:szCs w:val="21"/>
                <w:lang w:val="en-US" w:eastAsia="zh-CN" w:bidi="ar-SA"/>
              </w:rPr>
              <w:t>0</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snapToGrid w:val="0"/>
                <w:color w:val="auto"/>
                <w:kern w:val="21"/>
                <w:sz w:val="21"/>
                <w:szCs w:val="21"/>
                <w:lang w:val="en-US" w:eastAsia="zh-CN" w:bidi="ar-SA"/>
              </w:rPr>
              <w:t>0</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snapToGrid w:val="0"/>
                <w:color w:val="auto"/>
                <w:kern w:val="21"/>
                <w:sz w:val="21"/>
                <w:szCs w:val="21"/>
                <w:lang w:val="en-US" w:eastAsia="zh-CN" w:bidi="ar-SA"/>
              </w:rPr>
              <w:t>0</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1</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w:t>
            </w:r>
          </w:p>
        </w:tc>
        <w:tc>
          <w:tcPr>
            <w:tcW w:w="2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1</w:t>
            </w:r>
          </w:p>
        </w:tc>
        <w:tc>
          <w:tcPr>
            <w:tcW w:w="10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snapToGrid w:val="0"/>
                <w:color w:val="auto"/>
                <w:kern w:val="21"/>
                <w:sz w:val="21"/>
                <w:szCs w:val="21"/>
                <w:lang w:val="en-US" w:eastAsia="zh-CN" w:bidi="ar-SA"/>
              </w:rPr>
              <w:t>1</w:t>
            </w:r>
          </w:p>
        </w:tc>
      </w:tr>
    </w:tbl>
    <w:p>
      <w:pPr>
        <w:pStyle w:val="38"/>
        <w:spacing w:before="192" w:beforeLines="80" w:after="24"/>
        <w:jc w:val="left"/>
        <w:rPr>
          <w:rFonts w:hint="default" w:ascii="Times New Roman" w:hAnsi="Times New Roman" w:cs="Times New Roman"/>
          <w:snapToGrid w:val="0"/>
          <w:color w:val="auto"/>
          <w:spacing w:val="-6"/>
          <w:kern w:val="21"/>
          <w:szCs w:val="21"/>
        </w:rPr>
      </w:pPr>
      <w:r>
        <w:rPr>
          <w:rFonts w:hint="default" w:ascii="Times New Roman" w:hAnsi="Times New Roman" w:cs="Times New Roman"/>
          <w:snapToGrid w:val="0"/>
          <w:color w:val="auto"/>
          <w:kern w:val="21"/>
          <w:szCs w:val="21"/>
        </w:rPr>
        <w:t>注：</w:t>
      </w:r>
      <w:r>
        <w:rPr>
          <w:rFonts w:hint="default" w:ascii="Times New Roman" w:hAnsi="Times New Roman" w:cs="Times New Roman"/>
          <w:snapToGrid w:val="0"/>
          <w:color w:val="auto"/>
          <w:spacing w:val="-16"/>
          <w:kern w:val="21"/>
          <w:szCs w:val="21"/>
        </w:rPr>
        <w:fldChar w:fldCharType="begin"/>
      </w:r>
      <w:r>
        <w:rPr>
          <w:rFonts w:hint="default" w:ascii="Times New Roman" w:hAnsi="Times New Roman" w:cs="Times New Roman"/>
          <w:snapToGrid w:val="0"/>
          <w:color w:val="auto"/>
          <w:spacing w:val="-16"/>
          <w:kern w:val="21"/>
          <w:szCs w:val="21"/>
        </w:rPr>
        <w:instrText xml:space="preserve"> = 6 \* GB3 \* MERGEFORMAT </w:instrText>
      </w:r>
      <w:r>
        <w:rPr>
          <w:rFonts w:hint="default" w:ascii="Times New Roman" w:hAnsi="Times New Roman" w:cs="Times New Roman"/>
          <w:snapToGrid w:val="0"/>
          <w:color w:val="auto"/>
          <w:spacing w:val="-16"/>
          <w:kern w:val="21"/>
          <w:szCs w:val="21"/>
        </w:rPr>
        <w:fldChar w:fldCharType="separate"/>
      </w:r>
      <w:r>
        <w:rPr>
          <w:rFonts w:hint="default" w:ascii="Times New Roman" w:hAnsi="Times New Roman" w:cs="Times New Roman"/>
          <w:color w:val="auto"/>
          <w:szCs w:val="21"/>
        </w:rPr>
        <w:t>⑥</w:t>
      </w:r>
      <w:r>
        <w:rPr>
          <w:rFonts w:hint="default" w:ascii="Times New Roman" w:hAnsi="Times New Roman" w:cs="Times New Roman"/>
          <w:snapToGrid w:val="0"/>
          <w:color w:val="auto"/>
          <w:spacing w:val="-16"/>
          <w:kern w:val="21"/>
          <w:szCs w:val="21"/>
        </w:rPr>
        <w:fldChar w:fldCharType="end"/>
      </w:r>
      <w:r>
        <w:rPr>
          <w:rFonts w:hint="default" w:ascii="Times New Roman" w:hAnsi="Times New Roman" w:cs="Times New Roman"/>
          <w:snapToGrid w:val="0"/>
          <w:color w:val="auto"/>
          <w:spacing w:val="-1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1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①</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3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③</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4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④</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16"/>
          <w:kern w:val="21"/>
          <w:szCs w:val="21"/>
        </w:rPr>
        <w:fldChar w:fldCharType="begin"/>
      </w:r>
      <w:r>
        <w:rPr>
          <w:rFonts w:hint="default" w:ascii="Times New Roman" w:hAnsi="Times New Roman" w:cs="Times New Roman"/>
          <w:snapToGrid w:val="0"/>
          <w:color w:val="auto"/>
          <w:spacing w:val="-16"/>
          <w:kern w:val="21"/>
          <w:szCs w:val="21"/>
        </w:rPr>
        <w:instrText xml:space="preserve"> = 5 \* GB3 \* MERGEFORMAT </w:instrText>
      </w:r>
      <w:r>
        <w:rPr>
          <w:rFonts w:hint="default" w:ascii="Times New Roman" w:hAnsi="Times New Roman" w:cs="Times New Roman"/>
          <w:snapToGrid w:val="0"/>
          <w:color w:val="auto"/>
          <w:spacing w:val="-16"/>
          <w:kern w:val="21"/>
          <w:szCs w:val="21"/>
        </w:rPr>
        <w:fldChar w:fldCharType="separate"/>
      </w:r>
      <w:r>
        <w:rPr>
          <w:rFonts w:hint="default" w:ascii="Times New Roman" w:hAnsi="Times New Roman" w:cs="Times New Roman"/>
          <w:color w:val="auto"/>
          <w:szCs w:val="21"/>
        </w:rPr>
        <w:t>⑤</w:t>
      </w:r>
      <w:r>
        <w:rPr>
          <w:rFonts w:hint="default" w:ascii="Times New Roman" w:hAnsi="Times New Roman" w:cs="Times New Roman"/>
          <w:snapToGrid w:val="0"/>
          <w:color w:val="auto"/>
          <w:spacing w:val="-16"/>
          <w:kern w:val="21"/>
          <w:szCs w:val="21"/>
        </w:rPr>
        <w:fldChar w:fldCharType="end"/>
      </w:r>
      <w:r>
        <w:rPr>
          <w:rFonts w:hint="default" w:ascii="Times New Roman" w:hAnsi="Times New Roman" w:cs="Times New Roman"/>
          <w:snapToGrid w:val="0"/>
          <w:color w:val="auto"/>
          <w:spacing w:val="-1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7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⑦</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16"/>
          <w:kern w:val="21"/>
          <w:szCs w:val="21"/>
        </w:rPr>
        <w:fldChar w:fldCharType="begin"/>
      </w:r>
      <w:r>
        <w:rPr>
          <w:rFonts w:hint="default" w:ascii="Times New Roman" w:hAnsi="Times New Roman" w:cs="Times New Roman"/>
          <w:snapToGrid w:val="0"/>
          <w:color w:val="auto"/>
          <w:spacing w:val="-16"/>
          <w:kern w:val="21"/>
          <w:szCs w:val="21"/>
        </w:rPr>
        <w:instrText xml:space="preserve"> = 6 \* GB3 \* MERGEFORMAT </w:instrText>
      </w:r>
      <w:r>
        <w:rPr>
          <w:rFonts w:hint="default" w:ascii="Times New Roman" w:hAnsi="Times New Roman" w:cs="Times New Roman"/>
          <w:snapToGrid w:val="0"/>
          <w:color w:val="auto"/>
          <w:spacing w:val="-16"/>
          <w:kern w:val="21"/>
          <w:szCs w:val="21"/>
        </w:rPr>
        <w:fldChar w:fldCharType="separate"/>
      </w:r>
      <w:r>
        <w:rPr>
          <w:rFonts w:hint="default" w:ascii="Times New Roman" w:hAnsi="Times New Roman" w:cs="Times New Roman"/>
          <w:color w:val="auto"/>
          <w:szCs w:val="21"/>
        </w:rPr>
        <w:t>⑥</w:t>
      </w:r>
      <w:r>
        <w:rPr>
          <w:rFonts w:hint="default" w:ascii="Times New Roman" w:hAnsi="Times New Roman" w:cs="Times New Roman"/>
          <w:snapToGrid w:val="0"/>
          <w:color w:val="auto"/>
          <w:spacing w:val="-16"/>
          <w:kern w:val="21"/>
          <w:szCs w:val="21"/>
        </w:rPr>
        <w:fldChar w:fldCharType="end"/>
      </w:r>
      <w:r>
        <w:rPr>
          <w:rFonts w:hint="default" w:ascii="Times New Roman" w:hAnsi="Times New Roman" w:cs="Times New Roman"/>
          <w:snapToGrid w:val="0"/>
          <w:color w:val="auto"/>
          <w:spacing w:val="-1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1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①</w:t>
      </w:r>
      <w:r>
        <w:rPr>
          <w:rFonts w:hint="default" w:ascii="Times New Roman" w:hAnsi="Times New Roman" w:cs="Times New Roman"/>
          <w:snapToGrid w:val="0"/>
          <w:color w:val="auto"/>
          <w:spacing w:val="-6"/>
          <w:kern w:val="21"/>
          <w:szCs w:val="21"/>
        </w:rPr>
        <w:fldChar w:fldCharType="end"/>
      </w:r>
    </w:p>
    <w:p>
      <w:pPr>
        <w:rPr>
          <w:rFonts w:hint="default" w:ascii="Times New Roman" w:hAnsi="Times New Roman" w:eastAsia="黑体" w:cs="Times New Roman"/>
          <w:color w:val="auto"/>
        </w:rPr>
      </w:pPr>
      <w:bookmarkStart w:id="7" w:name="_GoBack"/>
      <w:bookmarkEnd w:id="7"/>
    </w:p>
    <w:sectPr>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2"/>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p>
    <w:pPr>
      <w:pStyle w:val="13"/>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2"/>
                              <w:rFonts w:ascii="宋体" w:hAnsi="宋体"/>
                              <w:sz w:val="28"/>
                              <w:szCs w:val="28"/>
                            </w:rPr>
                          </w:pPr>
                          <w:r>
                            <w:rPr>
                              <w:rStyle w:val="22"/>
                              <w:rFonts w:hint="eastAsia" w:ascii="宋体" w:hAnsi="宋体"/>
                              <w:sz w:val="28"/>
                              <w:szCs w:val="28"/>
                            </w:rPr>
                            <w:t>—</w:t>
                          </w:r>
                          <w:r>
                            <w:rPr>
                              <w:rStyle w:val="22"/>
                              <w:rFonts w:hint="eastAsia" w:ascii="宋体" w:hAnsi="宋体"/>
                              <w:sz w:val="20"/>
                            </w:rPr>
                            <w:t xml:space="preserve">  </w:t>
                          </w:r>
                          <w:r>
                            <w:rPr>
                              <w:rStyle w:val="22"/>
                              <w:rFonts w:ascii="宋体" w:hAnsi="宋体"/>
                              <w:sz w:val="26"/>
                              <w:szCs w:val="26"/>
                            </w:rPr>
                            <w:fldChar w:fldCharType="begin"/>
                          </w:r>
                          <w:r>
                            <w:rPr>
                              <w:rStyle w:val="22"/>
                              <w:rFonts w:ascii="宋体" w:hAnsi="宋体"/>
                              <w:sz w:val="26"/>
                              <w:szCs w:val="26"/>
                            </w:rPr>
                            <w:instrText xml:space="preserve">PAGE  </w:instrText>
                          </w:r>
                          <w:r>
                            <w:rPr>
                              <w:rStyle w:val="22"/>
                              <w:rFonts w:ascii="宋体" w:hAnsi="宋体"/>
                              <w:sz w:val="26"/>
                              <w:szCs w:val="26"/>
                            </w:rPr>
                            <w:fldChar w:fldCharType="separate"/>
                          </w:r>
                          <w:r>
                            <w:rPr>
                              <w:rStyle w:val="22"/>
                              <w:rFonts w:ascii="宋体" w:hAnsi="宋体"/>
                              <w:sz w:val="26"/>
                              <w:szCs w:val="26"/>
                            </w:rPr>
                            <w:t>11</w:t>
                          </w:r>
                          <w:r>
                            <w:rPr>
                              <w:rStyle w:val="22"/>
                              <w:rFonts w:ascii="宋体" w:hAnsi="宋体"/>
                              <w:sz w:val="26"/>
                              <w:szCs w:val="26"/>
                            </w:rPr>
                            <w:fldChar w:fldCharType="end"/>
                          </w:r>
                          <w:r>
                            <w:rPr>
                              <w:rStyle w:val="22"/>
                              <w:rFonts w:hint="eastAsia" w:ascii="宋体" w:hAnsi="宋体"/>
                              <w:sz w:val="20"/>
                            </w:rPr>
                            <w:t xml:space="preserve">  </w:t>
                          </w:r>
                          <w:r>
                            <w:rPr>
                              <w:rStyle w:val="22"/>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rPr>
                        <w:rStyle w:val="22"/>
                        <w:rFonts w:ascii="宋体" w:hAnsi="宋体"/>
                        <w:sz w:val="28"/>
                        <w:szCs w:val="28"/>
                      </w:rPr>
                    </w:pPr>
                    <w:r>
                      <w:rPr>
                        <w:rStyle w:val="22"/>
                        <w:rFonts w:hint="eastAsia" w:ascii="宋体" w:hAnsi="宋体"/>
                        <w:sz w:val="28"/>
                        <w:szCs w:val="28"/>
                      </w:rPr>
                      <w:t>—</w:t>
                    </w:r>
                    <w:r>
                      <w:rPr>
                        <w:rStyle w:val="22"/>
                        <w:rFonts w:hint="eastAsia" w:ascii="宋体" w:hAnsi="宋体"/>
                        <w:sz w:val="20"/>
                      </w:rPr>
                      <w:t xml:space="preserve">  </w:t>
                    </w:r>
                    <w:r>
                      <w:rPr>
                        <w:rStyle w:val="22"/>
                        <w:rFonts w:ascii="宋体" w:hAnsi="宋体"/>
                        <w:sz w:val="26"/>
                        <w:szCs w:val="26"/>
                      </w:rPr>
                      <w:fldChar w:fldCharType="begin"/>
                    </w:r>
                    <w:r>
                      <w:rPr>
                        <w:rStyle w:val="22"/>
                        <w:rFonts w:ascii="宋体" w:hAnsi="宋体"/>
                        <w:sz w:val="26"/>
                        <w:szCs w:val="26"/>
                      </w:rPr>
                      <w:instrText xml:space="preserve">PAGE  </w:instrText>
                    </w:r>
                    <w:r>
                      <w:rPr>
                        <w:rStyle w:val="22"/>
                        <w:rFonts w:ascii="宋体" w:hAnsi="宋体"/>
                        <w:sz w:val="26"/>
                        <w:szCs w:val="26"/>
                      </w:rPr>
                      <w:fldChar w:fldCharType="separate"/>
                    </w:r>
                    <w:r>
                      <w:rPr>
                        <w:rStyle w:val="22"/>
                        <w:rFonts w:ascii="宋体" w:hAnsi="宋体"/>
                        <w:sz w:val="26"/>
                        <w:szCs w:val="26"/>
                      </w:rPr>
                      <w:t>11</w:t>
                    </w:r>
                    <w:r>
                      <w:rPr>
                        <w:rStyle w:val="22"/>
                        <w:rFonts w:ascii="宋体" w:hAnsi="宋体"/>
                        <w:sz w:val="26"/>
                        <w:szCs w:val="26"/>
                      </w:rPr>
                      <w:fldChar w:fldCharType="end"/>
                    </w:r>
                    <w:r>
                      <w:rPr>
                        <w:rStyle w:val="22"/>
                        <w:rFonts w:hint="eastAsia" w:ascii="宋体" w:hAnsi="宋体"/>
                        <w:sz w:val="20"/>
                      </w:rPr>
                      <w:t xml:space="preserve">  </w:t>
                    </w:r>
                    <w:r>
                      <w:rPr>
                        <w:rStyle w:val="22"/>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60B3"/>
    <w:rsid w:val="0004085A"/>
    <w:rsid w:val="0004364B"/>
    <w:rsid w:val="00061B1F"/>
    <w:rsid w:val="000733C4"/>
    <w:rsid w:val="00074783"/>
    <w:rsid w:val="0008070B"/>
    <w:rsid w:val="000810AC"/>
    <w:rsid w:val="00081A02"/>
    <w:rsid w:val="00082231"/>
    <w:rsid w:val="0008351C"/>
    <w:rsid w:val="00092D38"/>
    <w:rsid w:val="0009377B"/>
    <w:rsid w:val="000A20C9"/>
    <w:rsid w:val="000B058F"/>
    <w:rsid w:val="000B4467"/>
    <w:rsid w:val="000B4DB9"/>
    <w:rsid w:val="000C09AC"/>
    <w:rsid w:val="000C767F"/>
    <w:rsid w:val="000D5A44"/>
    <w:rsid w:val="000E3ED2"/>
    <w:rsid w:val="00123B43"/>
    <w:rsid w:val="00131F42"/>
    <w:rsid w:val="001357F1"/>
    <w:rsid w:val="00140FA8"/>
    <w:rsid w:val="00142FEB"/>
    <w:rsid w:val="00143A2D"/>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513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C4E95"/>
    <w:rsid w:val="002D3DD0"/>
    <w:rsid w:val="002E1F3A"/>
    <w:rsid w:val="002E298A"/>
    <w:rsid w:val="003008E7"/>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794D"/>
    <w:rsid w:val="003E3058"/>
    <w:rsid w:val="003E76A9"/>
    <w:rsid w:val="003F0809"/>
    <w:rsid w:val="003F5571"/>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7618A"/>
    <w:rsid w:val="00484B9B"/>
    <w:rsid w:val="004855F6"/>
    <w:rsid w:val="0048661E"/>
    <w:rsid w:val="00494670"/>
    <w:rsid w:val="004A3823"/>
    <w:rsid w:val="004A6A77"/>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94D77"/>
    <w:rsid w:val="005969E4"/>
    <w:rsid w:val="005A06B7"/>
    <w:rsid w:val="005A1759"/>
    <w:rsid w:val="005A68A7"/>
    <w:rsid w:val="005D36AB"/>
    <w:rsid w:val="00617CC3"/>
    <w:rsid w:val="00633586"/>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4390F"/>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25708"/>
    <w:rsid w:val="0093037A"/>
    <w:rsid w:val="0093578D"/>
    <w:rsid w:val="0094154D"/>
    <w:rsid w:val="0095155F"/>
    <w:rsid w:val="00954429"/>
    <w:rsid w:val="009563CE"/>
    <w:rsid w:val="0096470B"/>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9F560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262"/>
    <w:rsid w:val="00AB7747"/>
    <w:rsid w:val="00AC14CE"/>
    <w:rsid w:val="00AC2A56"/>
    <w:rsid w:val="00AD055E"/>
    <w:rsid w:val="00AD47A7"/>
    <w:rsid w:val="00AF0CBF"/>
    <w:rsid w:val="00AF257F"/>
    <w:rsid w:val="00AF33CF"/>
    <w:rsid w:val="00AF47E0"/>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2B08"/>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280B"/>
    <w:rsid w:val="00D36D86"/>
    <w:rsid w:val="00D428AA"/>
    <w:rsid w:val="00D50A34"/>
    <w:rsid w:val="00D53EFA"/>
    <w:rsid w:val="00D94A7C"/>
    <w:rsid w:val="00D95896"/>
    <w:rsid w:val="00DB2983"/>
    <w:rsid w:val="00DC1257"/>
    <w:rsid w:val="00DC3DC0"/>
    <w:rsid w:val="00DC5B2B"/>
    <w:rsid w:val="00DD318D"/>
    <w:rsid w:val="00DE2531"/>
    <w:rsid w:val="00DF2E12"/>
    <w:rsid w:val="00DF514A"/>
    <w:rsid w:val="00DF6690"/>
    <w:rsid w:val="00DF6804"/>
    <w:rsid w:val="00E0358D"/>
    <w:rsid w:val="00E04323"/>
    <w:rsid w:val="00E070A2"/>
    <w:rsid w:val="00E2656A"/>
    <w:rsid w:val="00E412D0"/>
    <w:rsid w:val="00E56322"/>
    <w:rsid w:val="00E57AE4"/>
    <w:rsid w:val="00E60982"/>
    <w:rsid w:val="00E62C62"/>
    <w:rsid w:val="00E654C1"/>
    <w:rsid w:val="00E65D97"/>
    <w:rsid w:val="00E72A5A"/>
    <w:rsid w:val="00E73354"/>
    <w:rsid w:val="00E82089"/>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0FF35DB"/>
    <w:rsid w:val="01194E3D"/>
    <w:rsid w:val="0128510B"/>
    <w:rsid w:val="01290F7E"/>
    <w:rsid w:val="01294D3C"/>
    <w:rsid w:val="012E65CC"/>
    <w:rsid w:val="013F0A06"/>
    <w:rsid w:val="015733D1"/>
    <w:rsid w:val="015D1E09"/>
    <w:rsid w:val="016417C6"/>
    <w:rsid w:val="017F7DBF"/>
    <w:rsid w:val="01840493"/>
    <w:rsid w:val="01843568"/>
    <w:rsid w:val="018A43A9"/>
    <w:rsid w:val="01914308"/>
    <w:rsid w:val="01AB3640"/>
    <w:rsid w:val="01B72714"/>
    <w:rsid w:val="01C32AC7"/>
    <w:rsid w:val="01C76029"/>
    <w:rsid w:val="020243AE"/>
    <w:rsid w:val="02080E02"/>
    <w:rsid w:val="021F59D7"/>
    <w:rsid w:val="0221381F"/>
    <w:rsid w:val="022144A7"/>
    <w:rsid w:val="022756C6"/>
    <w:rsid w:val="022D158F"/>
    <w:rsid w:val="02313834"/>
    <w:rsid w:val="025777E3"/>
    <w:rsid w:val="025941BD"/>
    <w:rsid w:val="02646556"/>
    <w:rsid w:val="02686C5D"/>
    <w:rsid w:val="02697258"/>
    <w:rsid w:val="02697903"/>
    <w:rsid w:val="028818A5"/>
    <w:rsid w:val="02926B45"/>
    <w:rsid w:val="02B13F0D"/>
    <w:rsid w:val="02C270F1"/>
    <w:rsid w:val="02C277DB"/>
    <w:rsid w:val="02C450C6"/>
    <w:rsid w:val="02CF77BA"/>
    <w:rsid w:val="02D179BF"/>
    <w:rsid w:val="02D43E17"/>
    <w:rsid w:val="02D67433"/>
    <w:rsid w:val="02DC7B24"/>
    <w:rsid w:val="02F96569"/>
    <w:rsid w:val="03234F65"/>
    <w:rsid w:val="032A3332"/>
    <w:rsid w:val="033072E6"/>
    <w:rsid w:val="034D2F05"/>
    <w:rsid w:val="0352552F"/>
    <w:rsid w:val="035F09A6"/>
    <w:rsid w:val="03624BC6"/>
    <w:rsid w:val="036E2075"/>
    <w:rsid w:val="03871C27"/>
    <w:rsid w:val="03921AA7"/>
    <w:rsid w:val="03944CDD"/>
    <w:rsid w:val="0394744C"/>
    <w:rsid w:val="039B741B"/>
    <w:rsid w:val="03A02400"/>
    <w:rsid w:val="03A03ABD"/>
    <w:rsid w:val="03BB1AB3"/>
    <w:rsid w:val="03C006DD"/>
    <w:rsid w:val="03CA62BB"/>
    <w:rsid w:val="03DA43BE"/>
    <w:rsid w:val="03E2651B"/>
    <w:rsid w:val="03EA3764"/>
    <w:rsid w:val="03EA7B21"/>
    <w:rsid w:val="03ED6D5E"/>
    <w:rsid w:val="04122DBB"/>
    <w:rsid w:val="0413058D"/>
    <w:rsid w:val="04185E95"/>
    <w:rsid w:val="04376BD4"/>
    <w:rsid w:val="044229A8"/>
    <w:rsid w:val="0443147A"/>
    <w:rsid w:val="046446CF"/>
    <w:rsid w:val="046F2567"/>
    <w:rsid w:val="04752524"/>
    <w:rsid w:val="04810A8D"/>
    <w:rsid w:val="048B48D6"/>
    <w:rsid w:val="049205CE"/>
    <w:rsid w:val="04A71433"/>
    <w:rsid w:val="04B81542"/>
    <w:rsid w:val="04BB0801"/>
    <w:rsid w:val="04C73B5F"/>
    <w:rsid w:val="04E83B8A"/>
    <w:rsid w:val="04EA0F1C"/>
    <w:rsid w:val="04F55131"/>
    <w:rsid w:val="04FF3241"/>
    <w:rsid w:val="05012FC2"/>
    <w:rsid w:val="051B5CB8"/>
    <w:rsid w:val="051D4A36"/>
    <w:rsid w:val="05215EF5"/>
    <w:rsid w:val="052A13D5"/>
    <w:rsid w:val="05304A18"/>
    <w:rsid w:val="054357E3"/>
    <w:rsid w:val="055329A8"/>
    <w:rsid w:val="055D628D"/>
    <w:rsid w:val="055E0350"/>
    <w:rsid w:val="055F1BB6"/>
    <w:rsid w:val="05624B9E"/>
    <w:rsid w:val="05635425"/>
    <w:rsid w:val="056431AB"/>
    <w:rsid w:val="05673450"/>
    <w:rsid w:val="057136D7"/>
    <w:rsid w:val="05715135"/>
    <w:rsid w:val="05896CF6"/>
    <w:rsid w:val="0591736D"/>
    <w:rsid w:val="0593386C"/>
    <w:rsid w:val="05B30E90"/>
    <w:rsid w:val="05B62713"/>
    <w:rsid w:val="05B71FB9"/>
    <w:rsid w:val="05BB49F7"/>
    <w:rsid w:val="05BE600E"/>
    <w:rsid w:val="05CC78E7"/>
    <w:rsid w:val="05D270D5"/>
    <w:rsid w:val="05DF30A3"/>
    <w:rsid w:val="05E17EF6"/>
    <w:rsid w:val="05E90E78"/>
    <w:rsid w:val="05F005BC"/>
    <w:rsid w:val="05F112F1"/>
    <w:rsid w:val="05F23960"/>
    <w:rsid w:val="05F83EAE"/>
    <w:rsid w:val="060272AA"/>
    <w:rsid w:val="0605648B"/>
    <w:rsid w:val="06111CF0"/>
    <w:rsid w:val="06186FBD"/>
    <w:rsid w:val="06191046"/>
    <w:rsid w:val="062C270E"/>
    <w:rsid w:val="06305651"/>
    <w:rsid w:val="06337203"/>
    <w:rsid w:val="06357F03"/>
    <w:rsid w:val="063E7D85"/>
    <w:rsid w:val="064148BB"/>
    <w:rsid w:val="064153C6"/>
    <w:rsid w:val="064A03A0"/>
    <w:rsid w:val="064D5B99"/>
    <w:rsid w:val="06713096"/>
    <w:rsid w:val="06853921"/>
    <w:rsid w:val="0685412B"/>
    <w:rsid w:val="06896AA6"/>
    <w:rsid w:val="06A51CC9"/>
    <w:rsid w:val="06AA50D1"/>
    <w:rsid w:val="06AD6AE3"/>
    <w:rsid w:val="06B9029E"/>
    <w:rsid w:val="06BA2F68"/>
    <w:rsid w:val="06BC4AC4"/>
    <w:rsid w:val="06C758A9"/>
    <w:rsid w:val="06CF626F"/>
    <w:rsid w:val="06D0177D"/>
    <w:rsid w:val="06D07E26"/>
    <w:rsid w:val="06E8754D"/>
    <w:rsid w:val="06EA1853"/>
    <w:rsid w:val="06ED69E5"/>
    <w:rsid w:val="06EF7EAD"/>
    <w:rsid w:val="06F82440"/>
    <w:rsid w:val="06FA1F96"/>
    <w:rsid w:val="07045294"/>
    <w:rsid w:val="070C7D91"/>
    <w:rsid w:val="07135E49"/>
    <w:rsid w:val="071A15BE"/>
    <w:rsid w:val="071E7E08"/>
    <w:rsid w:val="0720125E"/>
    <w:rsid w:val="07293586"/>
    <w:rsid w:val="07295285"/>
    <w:rsid w:val="072C76EF"/>
    <w:rsid w:val="07394620"/>
    <w:rsid w:val="07402D83"/>
    <w:rsid w:val="0753256C"/>
    <w:rsid w:val="075A258B"/>
    <w:rsid w:val="07636392"/>
    <w:rsid w:val="07736C35"/>
    <w:rsid w:val="07770C56"/>
    <w:rsid w:val="07893AC6"/>
    <w:rsid w:val="078B04BB"/>
    <w:rsid w:val="07912EDD"/>
    <w:rsid w:val="07956724"/>
    <w:rsid w:val="079A7989"/>
    <w:rsid w:val="079D05B4"/>
    <w:rsid w:val="07C352E8"/>
    <w:rsid w:val="07C74342"/>
    <w:rsid w:val="07D1626F"/>
    <w:rsid w:val="07DF4F62"/>
    <w:rsid w:val="07DF6894"/>
    <w:rsid w:val="07E2747B"/>
    <w:rsid w:val="07E863B9"/>
    <w:rsid w:val="07F742BA"/>
    <w:rsid w:val="080541C5"/>
    <w:rsid w:val="081A2C83"/>
    <w:rsid w:val="082525D0"/>
    <w:rsid w:val="082771E4"/>
    <w:rsid w:val="082A3F77"/>
    <w:rsid w:val="082F08FE"/>
    <w:rsid w:val="08316309"/>
    <w:rsid w:val="08437792"/>
    <w:rsid w:val="084E172B"/>
    <w:rsid w:val="085A4BD0"/>
    <w:rsid w:val="085B13F0"/>
    <w:rsid w:val="085C7B88"/>
    <w:rsid w:val="086E66F3"/>
    <w:rsid w:val="087343D4"/>
    <w:rsid w:val="087C54E1"/>
    <w:rsid w:val="087E46EC"/>
    <w:rsid w:val="08A67A8A"/>
    <w:rsid w:val="08E95079"/>
    <w:rsid w:val="08EE416B"/>
    <w:rsid w:val="08F2589A"/>
    <w:rsid w:val="08F55346"/>
    <w:rsid w:val="09001753"/>
    <w:rsid w:val="090304A9"/>
    <w:rsid w:val="090B0892"/>
    <w:rsid w:val="090B1A31"/>
    <w:rsid w:val="091E00E5"/>
    <w:rsid w:val="091E514B"/>
    <w:rsid w:val="091F02A4"/>
    <w:rsid w:val="0920302D"/>
    <w:rsid w:val="092217DD"/>
    <w:rsid w:val="0925028B"/>
    <w:rsid w:val="092A2765"/>
    <w:rsid w:val="09323DD3"/>
    <w:rsid w:val="093A6455"/>
    <w:rsid w:val="093A7294"/>
    <w:rsid w:val="09454F55"/>
    <w:rsid w:val="096172A1"/>
    <w:rsid w:val="097B6803"/>
    <w:rsid w:val="097D13F1"/>
    <w:rsid w:val="098C6BEE"/>
    <w:rsid w:val="09B94398"/>
    <w:rsid w:val="09BE632E"/>
    <w:rsid w:val="09C113C1"/>
    <w:rsid w:val="09C6487E"/>
    <w:rsid w:val="09DB3962"/>
    <w:rsid w:val="09E25761"/>
    <w:rsid w:val="09E86106"/>
    <w:rsid w:val="0A0570B8"/>
    <w:rsid w:val="0A0A0CEC"/>
    <w:rsid w:val="0A18644B"/>
    <w:rsid w:val="0A263993"/>
    <w:rsid w:val="0A270953"/>
    <w:rsid w:val="0A270BBC"/>
    <w:rsid w:val="0A2C2F4D"/>
    <w:rsid w:val="0A2D3AC2"/>
    <w:rsid w:val="0A364010"/>
    <w:rsid w:val="0A3F1E06"/>
    <w:rsid w:val="0A592C7B"/>
    <w:rsid w:val="0A6A3E84"/>
    <w:rsid w:val="0A736835"/>
    <w:rsid w:val="0A764EC6"/>
    <w:rsid w:val="0A7F318A"/>
    <w:rsid w:val="0A89094F"/>
    <w:rsid w:val="0A914281"/>
    <w:rsid w:val="0A941DF6"/>
    <w:rsid w:val="0AA0426A"/>
    <w:rsid w:val="0AA46B46"/>
    <w:rsid w:val="0AA755DF"/>
    <w:rsid w:val="0ABD0A65"/>
    <w:rsid w:val="0ABD76A1"/>
    <w:rsid w:val="0AC85B8F"/>
    <w:rsid w:val="0ACC6764"/>
    <w:rsid w:val="0AD842D7"/>
    <w:rsid w:val="0AFD7A94"/>
    <w:rsid w:val="0B120D44"/>
    <w:rsid w:val="0B2423D6"/>
    <w:rsid w:val="0B27739B"/>
    <w:rsid w:val="0B334ED6"/>
    <w:rsid w:val="0B6F04E8"/>
    <w:rsid w:val="0B987B1F"/>
    <w:rsid w:val="0BA64500"/>
    <w:rsid w:val="0BAF1EAC"/>
    <w:rsid w:val="0BB436DE"/>
    <w:rsid w:val="0BC25BC2"/>
    <w:rsid w:val="0BD04193"/>
    <w:rsid w:val="0BD27BF6"/>
    <w:rsid w:val="0BD54AA4"/>
    <w:rsid w:val="0BDB7074"/>
    <w:rsid w:val="0BE03638"/>
    <w:rsid w:val="0BFA1545"/>
    <w:rsid w:val="0BFD477C"/>
    <w:rsid w:val="0C0043AD"/>
    <w:rsid w:val="0C173E6C"/>
    <w:rsid w:val="0C1A30B2"/>
    <w:rsid w:val="0C1B284F"/>
    <w:rsid w:val="0C2262E4"/>
    <w:rsid w:val="0C3B3C7D"/>
    <w:rsid w:val="0C4A17CA"/>
    <w:rsid w:val="0C4B3F28"/>
    <w:rsid w:val="0C6465F7"/>
    <w:rsid w:val="0C650A39"/>
    <w:rsid w:val="0C700CAB"/>
    <w:rsid w:val="0C8D3626"/>
    <w:rsid w:val="0C997C61"/>
    <w:rsid w:val="0C9A432D"/>
    <w:rsid w:val="0C9A74A9"/>
    <w:rsid w:val="0CA154CB"/>
    <w:rsid w:val="0CA3724B"/>
    <w:rsid w:val="0CAB2EAE"/>
    <w:rsid w:val="0CB04689"/>
    <w:rsid w:val="0CC8576A"/>
    <w:rsid w:val="0CCD3377"/>
    <w:rsid w:val="0CD0005D"/>
    <w:rsid w:val="0CD70279"/>
    <w:rsid w:val="0CDB71FB"/>
    <w:rsid w:val="0CE369E7"/>
    <w:rsid w:val="0CE66983"/>
    <w:rsid w:val="0CEA2A3E"/>
    <w:rsid w:val="0CF239E6"/>
    <w:rsid w:val="0CF50A56"/>
    <w:rsid w:val="0CF81B87"/>
    <w:rsid w:val="0CF94B07"/>
    <w:rsid w:val="0D0605E7"/>
    <w:rsid w:val="0D1F291F"/>
    <w:rsid w:val="0D2225B9"/>
    <w:rsid w:val="0D2F6ED3"/>
    <w:rsid w:val="0D315E04"/>
    <w:rsid w:val="0D3311B9"/>
    <w:rsid w:val="0D3B7E2D"/>
    <w:rsid w:val="0D410DBD"/>
    <w:rsid w:val="0D4F3FD9"/>
    <w:rsid w:val="0D5034E5"/>
    <w:rsid w:val="0D61370F"/>
    <w:rsid w:val="0D621C7D"/>
    <w:rsid w:val="0D6665C3"/>
    <w:rsid w:val="0D781F3D"/>
    <w:rsid w:val="0D825CE7"/>
    <w:rsid w:val="0D9020DE"/>
    <w:rsid w:val="0D9A503A"/>
    <w:rsid w:val="0DA44057"/>
    <w:rsid w:val="0DAE713B"/>
    <w:rsid w:val="0DB167FB"/>
    <w:rsid w:val="0DCB0AE0"/>
    <w:rsid w:val="0DCB56CF"/>
    <w:rsid w:val="0DDD17D4"/>
    <w:rsid w:val="0DE02219"/>
    <w:rsid w:val="0DED1D40"/>
    <w:rsid w:val="0DEF34EA"/>
    <w:rsid w:val="0DF82EA1"/>
    <w:rsid w:val="0E0024E0"/>
    <w:rsid w:val="0E1C7523"/>
    <w:rsid w:val="0E1D1CBF"/>
    <w:rsid w:val="0E27357C"/>
    <w:rsid w:val="0E372855"/>
    <w:rsid w:val="0E3D522A"/>
    <w:rsid w:val="0E5C57ED"/>
    <w:rsid w:val="0E6972CF"/>
    <w:rsid w:val="0E73034D"/>
    <w:rsid w:val="0E767BF3"/>
    <w:rsid w:val="0E852338"/>
    <w:rsid w:val="0E90111E"/>
    <w:rsid w:val="0E9D5019"/>
    <w:rsid w:val="0EA94067"/>
    <w:rsid w:val="0EAC1F7C"/>
    <w:rsid w:val="0EAD75E1"/>
    <w:rsid w:val="0EAE04FC"/>
    <w:rsid w:val="0EC7413E"/>
    <w:rsid w:val="0EDA70DE"/>
    <w:rsid w:val="0EDB2E57"/>
    <w:rsid w:val="0EDC7B26"/>
    <w:rsid w:val="0EEB1622"/>
    <w:rsid w:val="0EF37E93"/>
    <w:rsid w:val="0EF62129"/>
    <w:rsid w:val="0EF65B4F"/>
    <w:rsid w:val="0EF74790"/>
    <w:rsid w:val="0EFA5E38"/>
    <w:rsid w:val="0F103D3D"/>
    <w:rsid w:val="0F1100E2"/>
    <w:rsid w:val="0F13775A"/>
    <w:rsid w:val="0F221418"/>
    <w:rsid w:val="0F320AC4"/>
    <w:rsid w:val="0F386400"/>
    <w:rsid w:val="0F404AE6"/>
    <w:rsid w:val="0F5558ED"/>
    <w:rsid w:val="0F5958F8"/>
    <w:rsid w:val="0F5D535A"/>
    <w:rsid w:val="0F5F45FE"/>
    <w:rsid w:val="0F636555"/>
    <w:rsid w:val="0F792009"/>
    <w:rsid w:val="0F7D201C"/>
    <w:rsid w:val="0F851739"/>
    <w:rsid w:val="0F9A112B"/>
    <w:rsid w:val="0FA419A6"/>
    <w:rsid w:val="0FB01E90"/>
    <w:rsid w:val="0FB03FCA"/>
    <w:rsid w:val="0FB331C0"/>
    <w:rsid w:val="0FBC3DE8"/>
    <w:rsid w:val="0FBC67F0"/>
    <w:rsid w:val="0FC015C1"/>
    <w:rsid w:val="0FC14F60"/>
    <w:rsid w:val="0FC500E7"/>
    <w:rsid w:val="0FCF4C69"/>
    <w:rsid w:val="0FD21F63"/>
    <w:rsid w:val="0FD56264"/>
    <w:rsid w:val="0FEA25FC"/>
    <w:rsid w:val="0FF63795"/>
    <w:rsid w:val="0FFC0E28"/>
    <w:rsid w:val="0FFF6FFE"/>
    <w:rsid w:val="10050F35"/>
    <w:rsid w:val="103958EB"/>
    <w:rsid w:val="103B3855"/>
    <w:rsid w:val="104C4BF2"/>
    <w:rsid w:val="105312E9"/>
    <w:rsid w:val="106D2F64"/>
    <w:rsid w:val="107C245C"/>
    <w:rsid w:val="10833A02"/>
    <w:rsid w:val="10A574F2"/>
    <w:rsid w:val="10AC1384"/>
    <w:rsid w:val="10AD0176"/>
    <w:rsid w:val="10AF0A11"/>
    <w:rsid w:val="10B63710"/>
    <w:rsid w:val="10B76438"/>
    <w:rsid w:val="10BB7CBB"/>
    <w:rsid w:val="10C253C1"/>
    <w:rsid w:val="10C64651"/>
    <w:rsid w:val="10CB4CCE"/>
    <w:rsid w:val="10DA39EB"/>
    <w:rsid w:val="10E037FD"/>
    <w:rsid w:val="10EB6390"/>
    <w:rsid w:val="10EE4A05"/>
    <w:rsid w:val="10F10820"/>
    <w:rsid w:val="10FE7114"/>
    <w:rsid w:val="11011693"/>
    <w:rsid w:val="1103013E"/>
    <w:rsid w:val="1106276A"/>
    <w:rsid w:val="110C1363"/>
    <w:rsid w:val="110D4C6C"/>
    <w:rsid w:val="11175BAC"/>
    <w:rsid w:val="111A2989"/>
    <w:rsid w:val="111B7725"/>
    <w:rsid w:val="111C2F7A"/>
    <w:rsid w:val="11234DCD"/>
    <w:rsid w:val="1136344B"/>
    <w:rsid w:val="11426609"/>
    <w:rsid w:val="114A542B"/>
    <w:rsid w:val="114C253A"/>
    <w:rsid w:val="11520651"/>
    <w:rsid w:val="11557C14"/>
    <w:rsid w:val="116220A6"/>
    <w:rsid w:val="11665CA1"/>
    <w:rsid w:val="11741963"/>
    <w:rsid w:val="118812A1"/>
    <w:rsid w:val="119819BB"/>
    <w:rsid w:val="11B13ABD"/>
    <w:rsid w:val="11BF5059"/>
    <w:rsid w:val="11CA1738"/>
    <w:rsid w:val="11CA2AC6"/>
    <w:rsid w:val="11CA3F7B"/>
    <w:rsid w:val="11CC397F"/>
    <w:rsid w:val="11D15BAB"/>
    <w:rsid w:val="11DB4A8C"/>
    <w:rsid w:val="11FE56BD"/>
    <w:rsid w:val="12012516"/>
    <w:rsid w:val="120912D4"/>
    <w:rsid w:val="120C14FC"/>
    <w:rsid w:val="121249D9"/>
    <w:rsid w:val="121273A2"/>
    <w:rsid w:val="122B56A7"/>
    <w:rsid w:val="123229D9"/>
    <w:rsid w:val="12370F3A"/>
    <w:rsid w:val="12414392"/>
    <w:rsid w:val="125B47F7"/>
    <w:rsid w:val="126F62AD"/>
    <w:rsid w:val="12731F03"/>
    <w:rsid w:val="128C4B28"/>
    <w:rsid w:val="12980E04"/>
    <w:rsid w:val="129A5049"/>
    <w:rsid w:val="12AC2B20"/>
    <w:rsid w:val="12B71287"/>
    <w:rsid w:val="12C537F7"/>
    <w:rsid w:val="12D72E02"/>
    <w:rsid w:val="13001B0B"/>
    <w:rsid w:val="130A06C8"/>
    <w:rsid w:val="131372C1"/>
    <w:rsid w:val="13164F51"/>
    <w:rsid w:val="13181933"/>
    <w:rsid w:val="132B4F4F"/>
    <w:rsid w:val="133017E3"/>
    <w:rsid w:val="13386C1D"/>
    <w:rsid w:val="133D4D35"/>
    <w:rsid w:val="13411D75"/>
    <w:rsid w:val="13506901"/>
    <w:rsid w:val="13724061"/>
    <w:rsid w:val="137525E9"/>
    <w:rsid w:val="13822CA6"/>
    <w:rsid w:val="13825CB6"/>
    <w:rsid w:val="13951726"/>
    <w:rsid w:val="13A361CC"/>
    <w:rsid w:val="13AA21D6"/>
    <w:rsid w:val="13AD5DF4"/>
    <w:rsid w:val="13B02E54"/>
    <w:rsid w:val="13B22F3A"/>
    <w:rsid w:val="13B31279"/>
    <w:rsid w:val="13B612E8"/>
    <w:rsid w:val="13BC26DE"/>
    <w:rsid w:val="13BE36CB"/>
    <w:rsid w:val="13C074A8"/>
    <w:rsid w:val="13DF5F40"/>
    <w:rsid w:val="13E76481"/>
    <w:rsid w:val="13E90764"/>
    <w:rsid w:val="13FB57DA"/>
    <w:rsid w:val="141A5CB4"/>
    <w:rsid w:val="142F2DD6"/>
    <w:rsid w:val="14351E58"/>
    <w:rsid w:val="14396509"/>
    <w:rsid w:val="14436531"/>
    <w:rsid w:val="144972D3"/>
    <w:rsid w:val="14595A22"/>
    <w:rsid w:val="14612689"/>
    <w:rsid w:val="14681423"/>
    <w:rsid w:val="147109BB"/>
    <w:rsid w:val="1477157B"/>
    <w:rsid w:val="1488705F"/>
    <w:rsid w:val="148F791A"/>
    <w:rsid w:val="149C1EFC"/>
    <w:rsid w:val="14AD664C"/>
    <w:rsid w:val="14AE66FA"/>
    <w:rsid w:val="14B6473F"/>
    <w:rsid w:val="14C27043"/>
    <w:rsid w:val="14C562B5"/>
    <w:rsid w:val="14CD5D69"/>
    <w:rsid w:val="14DB5991"/>
    <w:rsid w:val="14DD2C3C"/>
    <w:rsid w:val="14E5126D"/>
    <w:rsid w:val="14F23FB6"/>
    <w:rsid w:val="15015E73"/>
    <w:rsid w:val="15275D6F"/>
    <w:rsid w:val="15412920"/>
    <w:rsid w:val="15427F62"/>
    <w:rsid w:val="15490B47"/>
    <w:rsid w:val="15613D35"/>
    <w:rsid w:val="15665920"/>
    <w:rsid w:val="157013D4"/>
    <w:rsid w:val="15712EA0"/>
    <w:rsid w:val="157E3CDD"/>
    <w:rsid w:val="15B4017E"/>
    <w:rsid w:val="15D771E7"/>
    <w:rsid w:val="15E42354"/>
    <w:rsid w:val="15EF3854"/>
    <w:rsid w:val="15EF515A"/>
    <w:rsid w:val="160866C4"/>
    <w:rsid w:val="16087E1D"/>
    <w:rsid w:val="16140618"/>
    <w:rsid w:val="161F7B5B"/>
    <w:rsid w:val="16381788"/>
    <w:rsid w:val="163A131D"/>
    <w:rsid w:val="164862AB"/>
    <w:rsid w:val="164F41B6"/>
    <w:rsid w:val="165108A9"/>
    <w:rsid w:val="16523255"/>
    <w:rsid w:val="166356A5"/>
    <w:rsid w:val="16790FC1"/>
    <w:rsid w:val="168A76B0"/>
    <w:rsid w:val="16932CB5"/>
    <w:rsid w:val="169D1B9D"/>
    <w:rsid w:val="16A312CA"/>
    <w:rsid w:val="16B12A96"/>
    <w:rsid w:val="16B378C0"/>
    <w:rsid w:val="16BE73DD"/>
    <w:rsid w:val="16C4280F"/>
    <w:rsid w:val="16C70F8D"/>
    <w:rsid w:val="16C963E6"/>
    <w:rsid w:val="16CD7E1F"/>
    <w:rsid w:val="16CF2007"/>
    <w:rsid w:val="16E72479"/>
    <w:rsid w:val="16EC0FF9"/>
    <w:rsid w:val="16F23077"/>
    <w:rsid w:val="17122279"/>
    <w:rsid w:val="171456C3"/>
    <w:rsid w:val="171A00EF"/>
    <w:rsid w:val="17200BB8"/>
    <w:rsid w:val="17201A58"/>
    <w:rsid w:val="172A5C1A"/>
    <w:rsid w:val="17336049"/>
    <w:rsid w:val="17341707"/>
    <w:rsid w:val="17351973"/>
    <w:rsid w:val="17403F03"/>
    <w:rsid w:val="174A5E18"/>
    <w:rsid w:val="17701D14"/>
    <w:rsid w:val="17735226"/>
    <w:rsid w:val="177E4190"/>
    <w:rsid w:val="178026E3"/>
    <w:rsid w:val="178B2EC7"/>
    <w:rsid w:val="179C0708"/>
    <w:rsid w:val="179C6BD5"/>
    <w:rsid w:val="179F5A0A"/>
    <w:rsid w:val="17A40C7D"/>
    <w:rsid w:val="17AA4CA7"/>
    <w:rsid w:val="17AB782E"/>
    <w:rsid w:val="17B93D26"/>
    <w:rsid w:val="17D26692"/>
    <w:rsid w:val="17DF5BC1"/>
    <w:rsid w:val="17E67F27"/>
    <w:rsid w:val="18042E5A"/>
    <w:rsid w:val="181D41EE"/>
    <w:rsid w:val="181D7A00"/>
    <w:rsid w:val="18371D47"/>
    <w:rsid w:val="183B2ADA"/>
    <w:rsid w:val="185742AE"/>
    <w:rsid w:val="186D0BFD"/>
    <w:rsid w:val="186E0327"/>
    <w:rsid w:val="187B35A1"/>
    <w:rsid w:val="18817351"/>
    <w:rsid w:val="188C1150"/>
    <w:rsid w:val="18912820"/>
    <w:rsid w:val="18920C5A"/>
    <w:rsid w:val="189F624C"/>
    <w:rsid w:val="18A10494"/>
    <w:rsid w:val="18AE5401"/>
    <w:rsid w:val="18CB4261"/>
    <w:rsid w:val="18D1642A"/>
    <w:rsid w:val="18D97ECB"/>
    <w:rsid w:val="18DB265D"/>
    <w:rsid w:val="18DC7F00"/>
    <w:rsid w:val="18E61C20"/>
    <w:rsid w:val="18EE1CB9"/>
    <w:rsid w:val="18F20605"/>
    <w:rsid w:val="1913429F"/>
    <w:rsid w:val="1925103F"/>
    <w:rsid w:val="19261340"/>
    <w:rsid w:val="19350C4D"/>
    <w:rsid w:val="19464675"/>
    <w:rsid w:val="194F7A73"/>
    <w:rsid w:val="195A2FBE"/>
    <w:rsid w:val="196103B9"/>
    <w:rsid w:val="196732AD"/>
    <w:rsid w:val="196E52F4"/>
    <w:rsid w:val="19756D9D"/>
    <w:rsid w:val="197930F7"/>
    <w:rsid w:val="198F11B1"/>
    <w:rsid w:val="19933F89"/>
    <w:rsid w:val="19A12B35"/>
    <w:rsid w:val="19A92CD0"/>
    <w:rsid w:val="19AC750A"/>
    <w:rsid w:val="19BC4197"/>
    <w:rsid w:val="19CE047B"/>
    <w:rsid w:val="19DD0B59"/>
    <w:rsid w:val="19F16637"/>
    <w:rsid w:val="19F8342C"/>
    <w:rsid w:val="1A0052AB"/>
    <w:rsid w:val="1A024C2E"/>
    <w:rsid w:val="1A064C90"/>
    <w:rsid w:val="1A0D1BB4"/>
    <w:rsid w:val="1A1A2D68"/>
    <w:rsid w:val="1A1C66C0"/>
    <w:rsid w:val="1A2138D2"/>
    <w:rsid w:val="1A35404C"/>
    <w:rsid w:val="1A382400"/>
    <w:rsid w:val="1A3E6DD0"/>
    <w:rsid w:val="1A42393B"/>
    <w:rsid w:val="1A4D2E17"/>
    <w:rsid w:val="1A582253"/>
    <w:rsid w:val="1A641539"/>
    <w:rsid w:val="1A661621"/>
    <w:rsid w:val="1A7029EC"/>
    <w:rsid w:val="1A73637C"/>
    <w:rsid w:val="1A891F69"/>
    <w:rsid w:val="1A893A09"/>
    <w:rsid w:val="1AAD45DE"/>
    <w:rsid w:val="1AC366E6"/>
    <w:rsid w:val="1AC6614C"/>
    <w:rsid w:val="1ACD0709"/>
    <w:rsid w:val="1AD0204C"/>
    <w:rsid w:val="1AD264C4"/>
    <w:rsid w:val="1ADD446B"/>
    <w:rsid w:val="1AEF5E94"/>
    <w:rsid w:val="1B0134E9"/>
    <w:rsid w:val="1B046F80"/>
    <w:rsid w:val="1B064D29"/>
    <w:rsid w:val="1B070F4E"/>
    <w:rsid w:val="1B183EF4"/>
    <w:rsid w:val="1B196DB7"/>
    <w:rsid w:val="1B20446F"/>
    <w:rsid w:val="1B2A7444"/>
    <w:rsid w:val="1B3267B5"/>
    <w:rsid w:val="1B40161D"/>
    <w:rsid w:val="1B441859"/>
    <w:rsid w:val="1B480D01"/>
    <w:rsid w:val="1B512523"/>
    <w:rsid w:val="1B562EA5"/>
    <w:rsid w:val="1B621DF7"/>
    <w:rsid w:val="1B6606B1"/>
    <w:rsid w:val="1B694714"/>
    <w:rsid w:val="1B745ABF"/>
    <w:rsid w:val="1B781144"/>
    <w:rsid w:val="1B9E1B4A"/>
    <w:rsid w:val="1BA93E1C"/>
    <w:rsid w:val="1BB274FE"/>
    <w:rsid w:val="1BB90250"/>
    <w:rsid w:val="1BBC7AC7"/>
    <w:rsid w:val="1BCF3285"/>
    <w:rsid w:val="1BD27948"/>
    <w:rsid w:val="1BD548E2"/>
    <w:rsid w:val="1BD91798"/>
    <w:rsid w:val="1BEB4D26"/>
    <w:rsid w:val="1BEC6CF0"/>
    <w:rsid w:val="1BEE595A"/>
    <w:rsid w:val="1BF41024"/>
    <w:rsid w:val="1BFD22F3"/>
    <w:rsid w:val="1C067C9F"/>
    <w:rsid w:val="1C082A95"/>
    <w:rsid w:val="1C2248F4"/>
    <w:rsid w:val="1C37422C"/>
    <w:rsid w:val="1C412C32"/>
    <w:rsid w:val="1C427511"/>
    <w:rsid w:val="1C434D60"/>
    <w:rsid w:val="1C5B59E7"/>
    <w:rsid w:val="1C5E7925"/>
    <w:rsid w:val="1C785139"/>
    <w:rsid w:val="1C8157EC"/>
    <w:rsid w:val="1C957BE3"/>
    <w:rsid w:val="1C9E3702"/>
    <w:rsid w:val="1CCD56AC"/>
    <w:rsid w:val="1CE431FF"/>
    <w:rsid w:val="1CEF5364"/>
    <w:rsid w:val="1CF24A1A"/>
    <w:rsid w:val="1CF36522"/>
    <w:rsid w:val="1CFD070F"/>
    <w:rsid w:val="1D1C5BF4"/>
    <w:rsid w:val="1D1D79FE"/>
    <w:rsid w:val="1D1F6802"/>
    <w:rsid w:val="1D2335FF"/>
    <w:rsid w:val="1D28466B"/>
    <w:rsid w:val="1D2B67BE"/>
    <w:rsid w:val="1D316AE4"/>
    <w:rsid w:val="1D46376D"/>
    <w:rsid w:val="1D5E46B3"/>
    <w:rsid w:val="1D5F6196"/>
    <w:rsid w:val="1D6132A5"/>
    <w:rsid w:val="1D656450"/>
    <w:rsid w:val="1D771166"/>
    <w:rsid w:val="1D773213"/>
    <w:rsid w:val="1D7C76E4"/>
    <w:rsid w:val="1D803B9D"/>
    <w:rsid w:val="1D8167EB"/>
    <w:rsid w:val="1D836BDF"/>
    <w:rsid w:val="1D863CEE"/>
    <w:rsid w:val="1D867B68"/>
    <w:rsid w:val="1D8E56D5"/>
    <w:rsid w:val="1DA33886"/>
    <w:rsid w:val="1DA40669"/>
    <w:rsid w:val="1DAC7412"/>
    <w:rsid w:val="1DB7722C"/>
    <w:rsid w:val="1DBB0D73"/>
    <w:rsid w:val="1DC47F7D"/>
    <w:rsid w:val="1DCC7117"/>
    <w:rsid w:val="1DD82CCB"/>
    <w:rsid w:val="1DD87AD9"/>
    <w:rsid w:val="1DE11BB0"/>
    <w:rsid w:val="1DE34E97"/>
    <w:rsid w:val="1DE451ED"/>
    <w:rsid w:val="1DFB4EAF"/>
    <w:rsid w:val="1E034067"/>
    <w:rsid w:val="1E1873A9"/>
    <w:rsid w:val="1E3D0D06"/>
    <w:rsid w:val="1E50542F"/>
    <w:rsid w:val="1E53109B"/>
    <w:rsid w:val="1E5829EF"/>
    <w:rsid w:val="1E5E7766"/>
    <w:rsid w:val="1E624539"/>
    <w:rsid w:val="1E681BCB"/>
    <w:rsid w:val="1E682EC8"/>
    <w:rsid w:val="1E7A43DA"/>
    <w:rsid w:val="1E9953E1"/>
    <w:rsid w:val="1E9F151D"/>
    <w:rsid w:val="1EA469C5"/>
    <w:rsid w:val="1EA6505B"/>
    <w:rsid w:val="1EAE38DC"/>
    <w:rsid w:val="1EB54773"/>
    <w:rsid w:val="1EC8701F"/>
    <w:rsid w:val="1ED75824"/>
    <w:rsid w:val="1EDF7958"/>
    <w:rsid w:val="1EEE642C"/>
    <w:rsid w:val="1F1360FD"/>
    <w:rsid w:val="1F262380"/>
    <w:rsid w:val="1F3E0C54"/>
    <w:rsid w:val="1F3E788C"/>
    <w:rsid w:val="1F4752E1"/>
    <w:rsid w:val="1F4C10C6"/>
    <w:rsid w:val="1F57596B"/>
    <w:rsid w:val="1F6A3DAD"/>
    <w:rsid w:val="1F80598C"/>
    <w:rsid w:val="1F866DC6"/>
    <w:rsid w:val="1F8C2937"/>
    <w:rsid w:val="1FA97614"/>
    <w:rsid w:val="1FAE1AE3"/>
    <w:rsid w:val="1FB85D28"/>
    <w:rsid w:val="1FB91E2B"/>
    <w:rsid w:val="1FC63EE2"/>
    <w:rsid w:val="1FCD4C3F"/>
    <w:rsid w:val="1FD219DC"/>
    <w:rsid w:val="1FD459FE"/>
    <w:rsid w:val="1FE25EC6"/>
    <w:rsid w:val="1FE7539E"/>
    <w:rsid w:val="201218A7"/>
    <w:rsid w:val="203F1A28"/>
    <w:rsid w:val="20454EFB"/>
    <w:rsid w:val="205F5463"/>
    <w:rsid w:val="2065333A"/>
    <w:rsid w:val="20671BE0"/>
    <w:rsid w:val="20680206"/>
    <w:rsid w:val="206934F8"/>
    <w:rsid w:val="206970FF"/>
    <w:rsid w:val="206F0584"/>
    <w:rsid w:val="20704CB7"/>
    <w:rsid w:val="20765EE5"/>
    <w:rsid w:val="20771008"/>
    <w:rsid w:val="207970CC"/>
    <w:rsid w:val="208562DA"/>
    <w:rsid w:val="208A2540"/>
    <w:rsid w:val="20963CB8"/>
    <w:rsid w:val="209B4F42"/>
    <w:rsid w:val="209D6FCA"/>
    <w:rsid w:val="20A42A25"/>
    <w:rsid w:val="20A81A1B"/>
    <w:rsid w:val="20AD103B"/>
    <w:rsid w:val="20B07FB6"/>
    <w:rsid w:val="20B646FB"/>
    <w:rsid w:val="20BA4103"/>
    <w:rsid w:val="20BD07E5"/>
    <w:rsid w:val="20CD157C"/>
    <w:rsid w:val="20CE5E55"/>
    <w:rsid w:val="20CF119D"/>
    <w:rsid w:val="20CF25CF"/>
    <w:rsid w:val="20DD3AD4"/>
    <w:rsid w:val="20E87146"/>
    <w:rsid w:val="20EB5CA9"/>
    <w:rsid w:val="20FB703A"/>
    <w:rsid w:val="20FE2287"/>
    <w:rsid w:val="210917A2"/>
    <w:rsid w:val="21157FB7"/>
    <w:rsid w:val="211D1F30"/>
    <w:rsid w:val="2122625E"/>
    <w:rsid w:val="213B2776"/>
    <w:rsid w:val="213B38DC"/>
    <w:rsid w:val="213B74B1"/>
    <w:rsid w:val="213B7FF8"/>
    <w:rsid w:val="21423563"/>
    <w:rsid w:val="21580768"/>
    <w:rsid w:val="21587B29"/>
    <w:rsid w:val="215A2310"/>
    <w:rsid w:val="215D7253"/>
    <w:rsid w:val="21672E5A"/>
    <w:rsid w:val="2168010A"/>
    <w:rsid w:val="218423EF"/>
    <w:rsid w:val="219B5FDB"/>
    <w:rsid w:val="219C0EBC"/>
    <w:rsid w:val="21A75F02"/>
    <w:rsid w:val="21AB77C8"/>
    <w:rsid w:val="21B271C8"/>
    <w:rsid w:val="21B93047"/>
    <w:rsid w:val="21C32D2D"/>
    <w:rsid w:val="21CF71F8"/>
    <w:rsid w:val="21D770FB"/>
    <w:rsid w:val="21DA5F6F"/>
    <w:rsid w:val="21DC31D4"/>
    <w:rsid w:val="21DD668E"/>
    <w:rsid w:val="21DE318A"/>
    <w:rsid w:val="21E0661B"/>
    <w:rsid w:val="21E479A9"/>
    <w:rsid w:val="21EB1798"/>
    <w:rsid w:val="21EF5B80"/>
    <w:rsid w:val="21FE7573"/>
    <w:rsid w:val="2203078E"/>
    <w:rsid w:val="220A124B"/>
    <w:rsid w:val="223D00F0"/>
    <w:rsid w:val="224272ED"/>
    <w:rsid w:val="22435019"/>
    <w:rsid w:val="22576168"/>
    <w:rsid w:val="22576990"/>
    <w:rsid w:val="225B5846"/>
    <w:rsid w:val="225C7CE6"/>
    <w:rsid w:val="2264339F"/>
    <w:rsid w:val="22805897"/>
    <w:rsid w:val="228812BD"/>
    <w:rsid w:val="228C55B1"/>
    <w:rsid w:val="228E73A8"/>
    <w:rsid w:val="22A06B1C"/>
    <w:rsid w:val="22A14E01"/>
    <w:rsid w:val="22A16FF1"/>
    <w:rsid w:val="22A22695"/>
    <w:rsid w:val="22A6470F"/>
    <w:rsid w:val="22B11BD3"/>
    <w:rsid w:val="22B43A80"/>
    <w:rsid w:val="22C812A1"/>
    <w:rsid w:val="22CE5C5B"/>
    <w:rsid w:val="22EA1FC9"/>
    <w:rsid w:val="22F47480"/>
    <w:rsid w:val="23042605"/>
    <w:rsid w:val="23102673"/>
    <w:rsid w:val="2329656B"/>
    <w:rsid w:val="232B51CE"/>
    <w:rsid w:val="233F1928"/>
    <w:rsid w:val="234A05F4"/>
    <w:rsid w:val="235E193E"/>
    <w:rsid w:val="2362789E"/>
    <w:rsid w:val="236B3121"/>
    <w:rsid w:val="23702EE4"/>
    <w:rsid w:val="23806112"/>
    <w:rsid w:val="23817C18"/>
    <w:rsid w:val="23A478E2"/>
    <w:rsid w:val="23B07F7A"/>
    <w:rsid w:val="23B17E21"/>
    <w:rsid w:val="23D840B9"/>
    <w:rsid w:val="23D93CA2"/>
    <w:rsid w:val="23D96396"/>
    <w:rsid w:val="23DE1C48"/>
    <w:rsid w:val="23F26F8E"/>
    <w:rsid w:val="240210CD"/>
    <w:rsid w:val="24073FBF"/>
    <w:rsid w:val="240F0518"/>
    <w:rsid w:val="241D72A0"/>
    <w:rsid w:val="243554DE"/>
    <w:rsid w:val="243F25C5"/>
    <w:rsid w:val="244336D4"/>
    <w:rsid w:val="245750BA"/>
    <w:rsid w:val="24863F3A"/>
    <w:rsid w:val="249019CD"/>
    <w:rsid w:val="24994E94"/>
    <w:rsid w:val="249C349C"/>
    <w:rsid w:val="24B3488D"/>
    <w:rsid w:val="24B679F0"/>
    <w:rsid w:val="24BB202E"/>
    <w:rsid w:val="24BD0238"/>
    <w:rsid w:val="24BF09F7"/>
    <w:rsid w:val="24C34051"/>
    <w:rsid w:val="24D4357E"/>
    <w:rsid w:val="24D91550"/>
    <w:rsid w:val="24D94BA0"/>
    <w:rsid w:val="24E164E6"/>
    <w:rsid w:val="24E2361B"/>
    <w:rsid w:val="24EF544C"/>
    <w:rsid w:val="25000564"/>
    <w:rsid w:val="25026DF8"/>
    <w:rsid w:val="251A4DF3"/>
    <w:rsid w:val="252D53FE"/>
    <w:rsid w:val="252E7854"/>
    <w:rsid w:val="25365E77"/>
    <w:rsid w:val="253B1042"/>
    <w:rsid w:val="253B581E"/>
    <w:rsid w:val="253C098A"/>
    <w:rsid w:val="254F6A6A"/>
    <w:rsid w:val="255E7E4D"/>
    <w:rsid w:val="25677761"/>
    <w:rsid w:val="25994E76"/>
    <w:rsid w:val="25A43110"/>
    <w:rsid w:val="25AC6A3B"/>
    <w:rsid w:val="25AE7D93"/>
    <w:rsid w:val="25B87573"/>
    <w:rsid w:val="25C03558"/>
    <w:rsid w:val="25E36388"/>
    <w:rsid w:val="25E53789"/>
    <w:rsid w:val="25EC2D81"/>
    <w:rsid w:val="25EE5F36"/>
    <w:rsid w:val="25FD3B3C"/>
    <w:rsid w:val="26143ED1"/>
    <w:rsid w:val="2615673F"/>
    <w:rsid w:val="262600B2"/>
    <w:rsid w:val="26261ABD"/>
    <w:rsid w:val="262A7470"/>
    <w:rsid w:val="26394A49"/>
    <w:rsid w:val="263B67C8"/>
    <w:rsid w:val="26460F6D"/>
    <w:rsid w:val="26694835"/>
    <w:rsid w:val="2682330B"/>
    <w:rsid w:val="26940FEE"/>
    <w:rsid w:val="26A40257"/>
    <w:rsid w:val="26A560A4"/>
    <w:rsid w:val="26AC43CC"/>
    <w:rsid w:val="26C22D09"/>
    <w:rsid w:val="26C40325"/>
    <w:rsid w:val="26C7613E"/>
    <w:rsid w:val="26CA2CF3"/>
    <w:rsid w:val="26D16052"/>
    <w:rsid w:val="26E33891"/>
    <w:rsid w:val="26F53448"/>
    <w:rsid w:val="26F842DF"/>
    <w:rsid w:val="270B7B13"/>
    <w:rsid w:val="271862ED"/>
    <w:rsid w:val="27213E4A"/>
    <w:rsid w:val="27296500"/>
    <w:rsid w:val="273621CF"/>
    <w:rsid w:val="273C0DFF"/>
    <w:rsid w:val="27466895"/>
    <w:rsid w:val="276D5134"/>
    <w:rsid w:val="277049A3"/>
    <w:rsid w:val="277057A2"/>
    <w:rsid w:val="2773767A"/>
    <w:rsid w:val="27753273"/>
    <w:rsid w:val="27775D05"/>
    <w:rsid w:val="277F46DB"/>
    <w:rsid w:val="278A442F"/>
    <w:rsid w:val="27987702"/>
    <w:rsid w:val="27A1612F"/>
    <w:rsid w:val="27A43BC8"/>
    <w:rsid w:val="27AE113B"/>
    <w:rsid w:val="27B415B5"/>
    <w:rsid w:val="27B70A1E"/>
    <w:rsid w:val="27D52C44"/>
    <w:rsid w:val="27ED6520"/>
    <w:rsid w:val="27FF5C94"/>
    <w:rsid w:val="28002000"/>
    <w:rsid w:val="28007FB7"/>
    <w:rsid w:val="280B26DF"/>
    <w:rsid w:val="281903E2"/>
    <w:rsid w:val="28240A65"/>
    <w:rsid w:val="283437A1"/>
    <w:rsid w:val="28377F60"/>
    <w:rsid w:val="284F76B8"/>
    <w:rsid w:val="28540F2E"/>
    <w:rsid w:val="28597304"/>
    <w:rsid w:val="28650CB8"/>
    <w:rsid w:val="2867702D"/>
    <w:rsid w:val="28704167"/>
    <w:rsid w:val="28750CD5"/>
    <w:rsid w:val="287E13AF"/>
    <w:rsid w:val="28857D28"/>
    <w:rsid w:val="28B11490"/>
    <w:rsid w:val="28C77629"/>
    <w:rsid w:val="28CF429D"/>
    <w:rsid w:val="28DF0846"/>
    <w:rsid w:val="28E95B68"/>
    <w:rsid w:val="28F02143"/>
    <w:rsid w:val="29200BE6"/>
    <w:rsid w:val="29206EB8"/>
    <w:rsid w:val="2926040A"/>
    <w:rsid w:val="2930182A"/>
    <w:rsid w:val="293B6F50"/>
    <w:rsid w:val="294067A8"/>
    <w:rsid w:val="29412940"/>
    <w:rsid w:val="294E2E2C"/>
    <w:rsid w:val="29595666"/>
    <w:rsid w:val="296C0368"/>
    <w:rsid w:val="296E2275"/>
    <w:rsid w:val="29783EFD"/>
    <w:rsid w:val="297A3C89"/>
    <w:rsid w:val="29830686"/>
    <w:rsid w:val="29874881"/>
    <w:rsid w:val="299014FF"/>
    <w:rsid w:val="299E2114"/>
    <w:rsid w:val="29A17372"/>
    <w:rsid w:val="29A4156D"/>
    <w:rsid w:val="29AA6468"/>
    <w:rsid w:val="29C53533"/>
    <w:rsid w:val="29C72368"/>
    <w:rsid w:val="29D00893"/>
    <w:rsid w:val="29D2263F"/>
    <w:rsid w:val="29D35FD7"/>
    <w:rsid w:val="29D7257E"/>
    <w:rsid w:val="29DA2667"/>
    <w:rsid w:val="29E325E0"/>
    <w:rsid w:val="29E97E53"/>
    <w:rsid w:val="29EB74C7"/>
    <w:rsid w:val="29F47B7F"/>
    <w:rsid w:val="2A053DE7"/>
    <w:rsid w:val="2A08759C"/>
    <w:rsid w:val="2A0C2878"/>
    <w:rsid w:val="2A1E0A56"/>
    <w:rsid w:val="2A351905"/>
    <w:rsid w:val="2A421CA2"/>
    <w:rsid w:val="2A452503"/>
    <w:rsid w:val="2A4A2515"/>
    <w:rsid w:val="2A503961"/>
    <w:rsid w:val="2A514DFB"/>
    <w:rsid w:val="2A605B3E"/>
    <w:rsid w:val="2A683EC7"/>
    <w:rsid w:val="2A6A6758"/>
    <w:rsid w:val="2A805B4F"/>
    <w:rsid w:val="2A934EAC"/>
    <w:rsid w:val="2AA752F6"/>
    <w:rsid w:val="2AC057C9"/>
    <w:rsid w:val="2AD739F3"/>
    <w:rsid w:val="2AEB2B7B"/>
    <w:rsid w:val="2AF57944"/>
    <w:rsid w:val="2AF7450E"/>
    <w:rsid w:val="2B002CDB"/>
    <w:rsid w:val="2B006177"/>
    <w:rsid w:val="2B180739"/>
    <w:rsid w:val="2B2062C6"/>
    <w:rsid w:val="2B483FF5"/>
    <w:rsid w:val="2B4A2004"/>
    <w:rsid w:val="2B5638FD"/>
    <w:rsid w:val="2B5D2D43"/>
    <w:rsid w:val="2B5D5C7F"/>
    <w:rsid w:val="2B65585C"/>
    <w:rsid w:val="2B6A3B59"/>
    <w:rsid w:val="2B6D24B8"/>
    <w:rsid w:val="2B71327C"/>
    <w:rsid w:val="2B7420F8"/>
    <w:rsid w:val="2B773ED5"/>
    <w:rsid w:val="2B8F6044"/>
    <w:rsid w:val="2B9059C6"/>
    <w:rsid w:val="2B914EF6"/>
    <w:rsid w:val="2B9F28C9"/>
    <w:rsid w:val="2BA936A8"/>
    <w:rsid w:val="2BAC6E44"/>
    <w:rsid w:val="2BAD1B4F"/>
    <w:rsid w:val="2BB67336"/>
    <w:rsid w:val="2BC758F2"/>
    <w:rsid w:val="2BD05908"/>
    <w:rsid w:val="2BDF58F0"/>
    <w:rsid w:val="2BEC4C30"/>
    <w:rsid w:val="2C01308E"/>
    <w:rsid w:val="2C1A4B7C"/>
    <w:rsid w:val="2C1F1611"/>
    <w:rsid w:val="2C260CD1"/>
    <w:rsid w:val="2C2F72F1"/>
    <w:rsid w:val="2C315A5A"/>
    <w:rsid w:val="2C350F72"/>
    <w:rsid w:val="2C3A724E"/>
    <w:rsid w:val="2C4B1C25"/>
    <w:rsid w:val="2C581A96"/>
    <w:rsid w:val="2C5E6DEC"/>
    <w:rsid w:val="2C5F5B69"/>
    <w:rsid w:val="2C663065"/>
    <w:rsid w:val="2C674B16"/>
    <w:rsid w:val="2C8D72E5"/>
    <w:rsid w:val="2C931458"/>
    <w:rsid w:val="2C9A4BD3"/>
    <w:rsid w:val="2C9C229B"/>
    <w:rsid w:val="2CA24F4C"/>
    <w:rsid w:val="2CA85854"/>
    <w:rsid w:val="2CBC54EE"/>
    <w:rsid w:val="2CBE5E5A"/>
    <w:rsid w:val="2CC85090"/>
    <w:rsid w:val="2CCA6338"/>
    <w:rsid w:val="2CD4097F"/>
    <w:rsid w:val="2CD87B30"/>
    <w:rsid w:val="2CDF0C1B"/>
    <w:rsid w:val="2CE27220"/>
    <w:rsid w:val="2CE96B3E"/>
    <w:rsid w:val="2CF32FBE"/>
    <w:rsid w:val="2D023199"/>
    <w:rsid w:val="2D0732C6"/>
    <w:rsid w:val="2D245EDA"/>
    <w:rsid w:val="2D2E1DA2"/>
    <w:rsid w:val="2D325A8E"/>
    <w:rsid w:val="2D3D622D"/>
    <w:rsid w:val="2D585502"/>
    <w:rsid w:val="2D5856D6"/>
    <w:rsid w:val="2D596BFD"/>
    <w:rsid w:val="2D5E0EAD"/>
    <w:rsid w:val="2D6071B9"/>
    <w:rsid w:val="2D7739D5"/>
    <w:rsid w:val="2D7B45E4"/>
    <w:rsid w:val="2D996ED4"/>
    <w:rsid w:val="2D9E56F5"/>
    <w:rsid w:val="2DB05C84"/>
    <w:rsid w:val="2DB753ED"/>
    <w:rsid w:val="2DCC56E2"/>
    <w:rsid w:val="2DD56AEA"/>
    <w:rsid w:val="2DE36C09"/>
    <w:rsid w:val="2DEB6F05"/>
    <w:rsid w:val="2DEC64D2"/>
    <w:rsid w:val="2DFC7259"/>
    <w:rsid w:val="2E011B88"/>
    <w:rsid w:val="2E0218CC"/>
    <w:rsid w:val="2E2B2927"/>
    <w:rsid w:val="2E302822"/>
    <w:rsid w:val="2E353ED7"/>
    <w:rsid w:val="2E3A02B7"/>
    <w:rsid w:val="2E3D37D3"/>
    <w:rsid w:val="2E4401D6"/>
    <w:rsid w:val="2E600AFC"/>
    <w:rsid w:val="2E667F96"/>
    <w:rsid w:val="2E6B270D"/>
    <w:rsid w:val="2E6D5368"/>
    <w:rsid w:val="2E79137E"/>
    <w:rsid w:val="2E8226AB"/>
    <w:rsid w:val="2E9017B3"/>
    <w:rsid w:val="2E971E97"/>
    <w:rsid w:val="2EAD16F0"/>
    <w:rsid w:val="2EB670A7"/>
    <w:rsid w:val="2EB803B7"/>
    <w:rsid w:val="2EC85CE7"/>
    <w:rsid w:val="2ECD3653"/>
    <w:rsid w:val="2EED5BFD"/>
    <w:rsid w:val="2EF37038"/>
    <w:rsid w:val="2F087F24"/>
    <w:rsid w:val="2F2D21B0"/>
    <w:rsid w:val="2F4400F5"/>
    <w:rsid w:val="2F527A8F"/>
    <w:rsid w:val="2F5C30EB"/>
    <w:rsid w:val="2F5C3DF3"/>
    <w:rsid w:val="2F6E7611"/>
    <w:rsid w:val="2F707FB2"/>
    <w:rsid w:val="2F733705"/>
    <w:rsid w:val="2F7C06EC"/>
    <w:rsid w:val="2F7C17CE"/>
    <w:rsid w:val="2F987916"/>
    <w:rsid w:val="2F9D1E35"/>
    <w:rsid w:val="2F9E39E6"/>
    <w:rsid w:val="2FBB2DD8"/>
    <w:rsid w:val="2FC21FF1"/>
    <w:rsid w:val="2FC44FFC"/>
    <w:rsid w:val="2FCA668E"/>
    <w:rsid w:val="2FD065E6"/>
    <w:rsid w:val="2FD6553D"/>
    <w:rsid w:val="2FD96870"/>
    <w:rsid w:val="2FDD5E82"/>
    <w:rsid w:val="2FDF4D46"/>
    <w:rsid w:val="30067BB9"/>
    <w:rsid w:val="300B4585"/>
    <w:rsid w:val="300D253F"/>
    <w:rsid w:val="30207FFA"/>
    <w:rsid w:val="302520C2"/>
    <w:rsid w:val="3040607F"/>
    <w:rsid w:val="3041226C"/>
    <w:rsid w:val="304924CA"/>
    <w:rsid w:val="30580BC9"/>
    <w:rsid w:val="30605B4A"/>
    <w:rsid w:val="30614FE2"/>
    <w:rsid w:val="30657231"/>
    <w:rsid w:val="3079287D"/>
    <w:rsid w:val="30800340"/>
    <w:rsid w:val="3087551C"/>
    <w:rsid w:val="30A049D8"/>
    <w:rsid w:val="30A144D4"/>
    <w:rsid w:val="30A508F8"/>
    <w:rsid w:val="30AF67BB"/>
    <w:rsid w:val="30B144B7"/>
    <w:rsid w:val="30B237A8"/>
    <w:rsid w:val="30BE17EF"/>
    <w:rsid w:val="30C0289A"/>
    <w:rsid w:val="30D509B9"/>
    <w:rsid w:val="30E77214"/>
    <w:rsid w:val="30F64CE1"/>
    <w:rsid w:val="30FC35F6"/>
    <w:rsid w:val="310F52A2"/>
    <w:rsid w:val="311E2ED7"/>
    <w:rsid w:val="31220090"/>
    <w:rsid w:val="312919D8"/>
    <w:rsid w:val="31334C00"/>
    <w:rsid w:val="31382ED1"/>
    <w:rsid w:val="31425091"/>
    <w:rsid w:val="31442AAC"/>
    <w:rsid w:val="314B7F03"/>
    <w:rsid w:val="314D614A"/>
    <w:rsid w:val="314F0E73"/>
    <w:rsid w:val="315619EE"/>
    <w:rsid w:val="315C449C"/>
    <w:rsid w:val="31636DB8"/>
    <w:rsid w:val="316D35CC"/>
    <w:rsid w:val="31752572"/>
    <w:rsid w:val="317B1C86"/>
    <w:rsid w:val="31825662"/>
    <w:rsid w:val="318332A4"/>
    <w:rsid w:val="31914B6D"/>
    <w:rsid w:val="31AE7224"/>
    <w:rsid w:val="31B5228A"/>
    <w:rsid w:val="31B82709"/>
    <w:rsid w:val="31BA6A13"/>
    <w:rsid w:val="31C330A5"/>
    <w:rsid w:val="31CA5FEA"/>
    <w:rsid w:val="31D05482"/>
    <w:rsid w:val="31D77892"/>
    <w:rsid w:val="31D90E5B"/>
    <w:rsid w:val="31DF4B4C"/>
    <w:rsid w:val="31DF7355"/>
    <w:rsid w:val="31E812D8"/>
    <w:rsid w:val="31F90F3B"/>
    <w:rsid w:val="320C0DC5"/>
    <w:rsid w:val="320C767E"/>
    <w:rsid w:val="32152A36"/>
    <w:rsid w:val="322173E5"/>
    <w:rsid w:val="323D207E"/>
    <w:rsid w:val="32400B34"/>
    <w:rsid w:val="32515D0C"/>
    <w:rsid w:val="325A257A"/>
    <w:rsid w:val="325B542F"/>
    <w:rsid w:val="32792DA8"/>
    <w:rsid w:val="329D7FA4"/>
    <w:rsid w:val="329E6876"/>
    <w:rsid w:val="32A704D0"/>
    <w:rsid w:val="32B7143E"/>
    <w:rsid w:val="32CC59B8"/>
    <w:rsid w:val="32CF6BC0"/>
    <w:rsid w:val="32D87A2E"/>
    <w:rsid w:val="32E740EA"/>
    <w:rsid w:val="3308542E"/>
    <w:rsid w:val="331845A1"/>
    <w:rsid w:val="331E6BCE"/>
    <w:rsid w:val="33200DEE"/>
    <w:rsid w:val="332C467C"/>
    <w:rsid w:val="333015F2"/>
    <w:rsid w:val="333C749F"/>
    <w:rsid w:val="334053D1"/>
    <w:rsid w:val="33482326"/>
    <w:rsid w:val="334B6320"/>
    <w:rsid w:val="334E2324"/>
    <w:rsid w:val="334E2434"/>
    <w:rsid w:val="33554B10"/>
    <w:rsid w:val="33626C0F"/>
    <w:rsid w:val="33800077"/>
    <w:rsid w:val="33841E09"/>
    <w:rsid w:val="33860EFB"/>
    <w:rsid w:val="33946FEB"/>
    <w:rsid w:val="33987355"/>
    <w:rsid w:val="33A729DC"/>
    <w:rsid w:val="33B34551"/>
    <w:rsid w:val="33D62DAD"/>
    <w:rsid w:val="33D665F6"/>
    <w:rsid w:val="33D934D4"/>
    <w:rsid w:val="33E52C39"/>
    <w:rsid w:val="33E8424F"/>
    <w:rsid w:val="33E97F68"/>
    <w:rsid w:val="33FE2F6A"/>
    <w:rsid w:val="340C73B2"/>
    <w:rsid w:val="340E07E5"/>
    <w:rsid w:val="34103AFF"/>
    <w:rsid w:val="34235BF7"/>
    <w:rsid w:val="34363C2A"/>
    <w:rsid w:val="34374144"/>
    <w:rsid w:val="34375E1F"/>
    <w:rsid w:val="343D6A53"/>
    <w:rsid w:val="34424480"/>
    <w:rsid w:val="34501265"/>
    <w:rsid w:val="3460433E"/>
    <w:rsid w:val="34670E02"/>
    <w:rsid w:val="346E6092"/>
    <w:rsid w:val="346F6A5D"/>
    <w:rsid w:val="34742F60"/>
    <w:rsid w:val="347B6421"/>
    <w:rsid w:val="347F4C6D"/>
    <w:rsid w:val="349302F7"/>
    <w:rsid w:val="349F2142"/>
    <w:rsid w:val="34AE458B"/>
    <w:rsid w:val="34B119D3"/>
    <w:rsid w:val="34BA09F4"/>
    <w:rsid w:val="34BC29DE"/>
    <w:rsid w:val="34C410F3"/>
    <w:rsid w:val="34CF051B"/>
    <w:rsid w:val="34D20E73"/>
    <w:rsid w:val="34D40132"/>
    <w:rsid w:val="34E144DB"/>
    <w:rsid w:val="34EE1752"/>
    <w:rsid w:val="3511180F"/>
    <w:rsid w:val="35346F2F"/>
    <w:rsid w:val="35477898"/>
    <w:rsid w:val="355B6D9C"/>
    <w:rsid w:val="356741D9"/>
    <w:rsid w:val="357000F9"/>
    <w:rsid w:val="3571132C"/>
    <w:rsid w:val="35747380"/>
    <w:rsid w:val="357A44FE"/>
    <w:rsid w:val="358110BC"/>
    <w:rsid w:val="358C5FA8"/>
    <w:rsid w:val="358D5245"/>
    <w:rsid w:val="359653B5"/>
    <w:rsid w:val="359F20BF"/>
    <w:rsid w:val="35C02608"/>
    <w:rsid w:val="35C15DF1"/>
    <w:rsid w:val="35DB6E50"/>
    <w:rsid w:val="36060296"/>
    <w:rsid w:val="36074A7F"/>
    <w:rsid w:val="360C36E7"/>
    <w:rsid w:val="36154802"/>
    <w:rsid w:val="363F2894"/>
    <w:rsid w:val="36426CB0"/>
    <w:rsid w:val="364E2D80"/>
    <w:rsid w:val="367007FB"/>
    <w:rsid w:val="36770A78"/>
    <w:rsid w:val="36771929"/>
    <w:rsid w:val="367F1452"/>
    <w:rsid w:val="3686131C"/>
    <w:rsid w:val="368A44CB"/>
    <w:rsid w:val="36923549"/>
    <w:rsid w:val="36947562"/>
    <w:rsid w:val="36961295"/>
    <w:rsid w:val="36AC31F7"/>
    <w:rsid w:val="36B75FBF"/>
    <w:rsid w:val="36BD0C45"/>
    <w:rsid w:val="36C02C87"/>
    <w:rsid w:val="36CE3980"/>
    <w:rsid w:val="36D61F94"/>
    <w:rsid w:val="36F119C9"/>
    <w:rsid w:val="36F54C56"/>
    <w:rsid w:val="36FD5435"/>
    <w:rsid w:val="37085572"/>
    <w:rsid w:val="370A0331"/>
    <w:rsid w:val="370C5196"/>
    <w:rsid w:val="371D3625"/>
    <w:rsid w:val="3724279E"/>
    <w:rsid w:val="37250C65"/>
    <w:rsid w:val="37560E40"/>
    <w:rsid w:val="37601A38"/>
    <w:rsid w:val="376F4BB5"/>
    <w:rsid w:val="379323B6"/>
    <w:rsid w:val="379D3554"/>
    <w:rsid w:val="37AD4EC5"/>
    <w:rsid w:val="37AE260F"/>
    <w:rsid w:val="37C41355"/>
    <w:rsid w:val="37D220EA"/>
    <w:rsid w:val="37E00298"/>
    <w:rsid w:val="37E4698B"/>
    <w:rsid w:val="37EE58EF"/>
    <w:rsid w:val="37EF6079"/>
    <w:rsid w:val="37F4486D"/>
    <w:rsid w:val="3804002F"/>
    <w:rsid w:val="38092B05"/>
    <w:rsid w:val="38154CA3"/>
    <w:rsid w:val="381935F2"/>
    <w:rsid w:val="382D387F"/>
    <w:rsid w:val="38304525"/>
    <w:rsid w:val="383E64A3"/>
    <w:rsid w:val="38562944"/>
    <w:rsid w:val="386060A2"/>
    <w:rsid w:val="38797430"/>
    <w:rsid w:val="387F3189"/>
    <w:rsid w:val="389313D0"/>
    <w:rsid w:val="38954476"/>
    <w:rsid w:val="38982C2F"/>
    <w:rsid w:val="38B032F8"/>
    <w:rsid w:val="38B302F9"/>
    <w:rsid w:val="38B553A8"/>
    <w:rsid w:val="38C46B60"/>
    <w:rsid w:val="38C92B6F"/>
    <w:rsid w:val="38DD79C1"/>
    <w:rsid w:val="38EE3369"/>
    <w:rsid w:val="38EE6DE2"/>
    <w:rsid w:val="38F12CD3"/>
    <w:rsid w:val="38F90550"/>
    <w:rsid w:val="38F94775"/>
    <w:rsid w:val="39025B75"/>
    <w:rsid w:val="390574CD"/>
    <w:rsid w:val="390B2244"/>
    <w:rsid w:val="391013C1"/>
    <w:rsid w:val="3923191A"/>
    <w:rsid w:val="392971ED"/>
    <w:rsid w:val="39325651"/>
    <w:rsid w:val="393602EF"/>
    <w:rsid w:val="393E713E"/>
    <w:rsid w:val="39423F18"/>
    <w:rsid w:val="39492BDC"/>
    <w:rsid w:val="394B2EB1"/>
    <w:rsid w:val="395C7581"/>
    <w:rsid w:val="39622584"/>
    <w:rsid w:val="396C5DA9"/>
    <w:rsid w:val="396F0DDC"/>
    <w:rsid w:val="398F5F7B"/>
    <w:rsid w:val="39AB6AC1"/>
    <w:rsid w:val="39B4367A"/>
    <w:rsid w:val="39C027F6"/>
    <w:rsid w:val="39C74CF9"/>
    <w:rsid w:val="39EB40CD"/>
    <w:rsid w:val="39F52BB3"/>
    <w:rsid w:val="3A094485"/>
    <w:rsid w:val="3A193926"/>
    <w:rsid w:val="3A3342AB"/>
    <w:rsid w:val="3A3B19B0"/>
    <w:rsid w:val="3A3F43CB"/>
    <w:rsid w:val="3A456C98"/>
    <w:rsid w:val="3A5E1DC7"/>
    <w:rsid w:val="3A665675"/>
    <w:rsid w:val="3A6E49CC"/>
    <w:rsid w:val="3A7E2950"/>
    <w:rsid w:val="3A82477A"/>
    <w:rsid w:val="3A872856"/>
    <w:rsid w:val="3A8A23E5"/>
    <w:rsid w:val="3A8A558B"/>
    <w:rsid w:val="3A8C66F4"/>
    <w:rsid w:val="3A8E4F59"/>
    <w:rsid w:val="3A9811F7"/>
    <w:rsid w:val="3A9E2F44"/>
    <w:rsid w:val="3AA0513E"/>
    <w:rsid w:val="3AA258F7"/>
    <w:rsid w:val="3AB05F3D"/>
    <w:rsid w:val="3AB27B96"/>
    <w:rsid w:val="3AC51892"/>
    <w:rsid w:val="3AD805DA"/>
    <w:rsid w:val="3AE41947"/>
    <w:rsid w:val="3AEF2442"/>
    <w:rsid w:val="3AF116B8"/>
    <w:rsid w:val="3AF15D6D"/>
    <w:rsid w:val="3AF66A72"/>
    <w:rsid w:val="3AFC43DB"/>
    <w:rsid w:val="3AFD0AE4"/>
    <w:rsid w:val="3B256831"/>
    <w:rsid w:val="3B272BDA"/>
    <w:rsid w:val="3B2E5AC4"/>
    <w:rsid w:val="3B2F5DA0"/>
    <w:rsid w:val="3B3763D1"/>
    <w:rsid w:val="3B436FAD"/>
    <w:rsid w:val="3B446BB0"/>
    <w:rsid w:val="3B4B44F6"/>
    <w:rsid w:val="3B5A0FCC"/>
    <w:rsid w:val="3B5A1922"/>
    <w:rsid w:val="3B79205C"/>
    <w:rsid w:val="3B7C34D5"/>
    <w:rsid w:val="3B900B0B"/>
    <w:rsid w:val="3B9F039B"/>
    <w:rsid w:val="3BA422FD"/>
    <w:rsid w:val="3BAE7EF0"/>
    <w:rsid w:val="3BBF6681"/>
    <w:rsid w:val="3BD76341"/>
    <w:rsid w:val="3BDB38D2"/>
    <w:rsid w:val="3BFE7AFC"/>
    <w:rsid w:val="3C1408A3"/>
    <w:rsid w:val="3C1606CE"/>
    <w:rsid w:val="3C27732F"/>
    <w:rsid w:val="3C29742A"/>
    <w:rsid w:val="3C2C1FC3"/>
    <w:rsid w:val="3C2D7D7B"/>
    <w:rsid w:val="3C2F6E1E"/>
    <w:rsid w:val="3C3A7003"/>
    <w:rsid w:val="3C3A7CDF"/>
    <w:rsid w:val="3C446C2B"/>
    <w:rsid w:val="3C4F64BA"/>
    <w:rsid w:val="3C5F16B6"/>
    <w:rsid w:val="3C6054FE"/>
    <w:rsid w:val="3C6470F0"/>
    <w:rsid w:val="3C676E98"/>
    <w:rsid w:val="3C69171E"/>
    <w:rsid w:val="3C841B22"/>
    <w:rsid w:val="3C915C17"/>
    <w:rsid w:val="3CAC33DA"/>
    <w:rsid w:val="3CB268B6"/>
    <w:rsid w:val="3CB7378D"/>
    <w:rsid w:val="3CC106C0"/>
    <w:rsid w:val="3CC8079C"/>
    <w:rsid w:val="3CDA245A"/>
    <w:rsid w:val="3CDA6636"/>
    <w:rsid w:val="3CDD25E6"/>
    <w:rsid w:val="3CE977B8"/>
    <w:rsid w:val="3CEC184C"/>
    <w:rsid w:val="3CF70D9B"/>
    <w:rsid w:val="3CFA6ABE"/>
    <w:rsid w:val="3D072CFD"/>
    <w:rsid w:val="3D0A5BA7"/>
    <w:rsid w:val="3D170823"/>
    <w:rsid w:val="3D1E06B7"/>
    <w:rsid w:val="3D1F426B"/>
    <w:rsid w:val="3D2170F8"/>
    <w:rsid w:val="3D23616C"/>
    <w:rsid w:val="3D260452"/>
    <w:rsid w:val="3D345382"/>
    <w:rsid w:val="3D417029"/>
    <w:rsid w:val="3D4D6780"/>
    <w:rsid w:val="3D635CB5"/>
    <w:rsid w:val="3D654CB8"/>
    <w:rsid w:val="3D6F0CA5"/>
    <w:rsid w:val="3D8E0DAE"/>
    <w:rsid w:val="3DA01193"/>
    <w:rsid w:val="3DA71660"/>
    <w:rsid w:val="3DAE0DCC"/>
    <w:rsid w:val="3DBD4B6D"/>
    <w:rsid w:val="3DC71E74"/>
    <w:rsid w:val="3DCA1656"/>
    <w:rsid w:val="3DCF47D0"/>
    <w:rsid w:val="3DD4638D"/>
    <w:rsid w:val="3DE02E42"/>
    <w:rsid w:val="3E0B1BC0"/>
    <w:rsid w:val="3E191583"/>
    <w:rsid w:val="3E1B1E62"/>
    <w:rsid w:val="3E2065B8"/>
    <w:rsid w:val="3E286CF7"/>
    <w:rsid w:val="3E2C4855"/>
    <w:rsid w:val="3E2C6277"/>
    <w:rsid w:val="3E2E5429"/>
    <w:rsid w:val="3E345FF5"/>
    <w:rsid w:val="3E393122"/>
    <w:rsid w:val="3E4D5972"/>
    <w:rsid w:val="3E550CB3"/>
    <w:rsid w:val="3E89424D"/>
    <w:rsid w:val="3E8A26F3"/>
    <w:rsid w:val="3E983E76"/>
    <w:rsid w:val="3EA3793B"/>
    <w:rsid w:val="3EA51174"/>
    <w:rsid w:val="3EBE3EBA"/>
    <w:rsid w:val="3EBE482F"/>
    <w:rsid w:val="3ECF2CAE"/>
    <w:rsid w:val="3ED3743E"/>
    <w:rsid w:val="3EDA0523"/>
    <w:rsid w:val="3EED09E9"/>
    <w:rsid w:val="3EEF7691"/>
    <w:rsid w:val="3EF30CFE"/>
    <w:rsid w:val="3F112A04"/>
    <w:rsid w:val="3F223F9F"/>
    <w:rsid w:val="3F3348F7"/>
    <w:rsid w:val="3F420FD7"/>
    <w:rsid w:val="3F45257D"/>
    <w:rsid w:val="3F4E7605"/>
    <w:rsid w:val="3F5079EA"/>
    <w:rsid w:val="3F7C4D15"/>
    <w:rsid w:val="3F7D301C"/>
    <w:rsid w:val="3F7E7FD7"/>
    <w:rsid w:val="3F7F1346"/>
    <w:rsid w:val="3F961A4F"/>
    <w:rsid w:val="3FA915AC"/>
    <w:rsid w:val="3FB067A6"/>
    <w:rsid w:val="3FB31FA2"/>
    <w:rsid w:val="3FB5532C"/>
    <w:rsid w:val="3FBA242D"/>
    <w:rsid w:val="3FBE0D20"/>
    <w:rsid w:val="3FC808BD"/>
    <w:rsid w:val="3FCB054F"/>
    <w:rsid w:val="3FD72B3D"/>
    <w:rsid w:val="3FEA0BAC"/>
    <w:rsid w:val="3FF75182"/>
    <w:rsid w:val="3FFA0FC3"/>
    <w:rsid w:val="400A1419"/>
    <w:rsid w:val="400A592F"/>
    <w:rsid w:val="400C40E2"/>
    <w:rsid w:val="40197030"/>
    <w:rsid w:val="401A1103"/>
    <w:rsid w:val="401A3641"/>
    <w:rsid w:val="402667B5"/>
    <w:rsid w:val="402870F7"/>
    <w:rsid w:val="403015F7"/>
    <w:rsid w:val="40307131"/>
    <w:rsid w:val="40353CDD"/>
    <w:rsid w:val="4038405E"/>
    <w:rsid w:val="40391B40"/>
    <w:rsid w:val="4058787E"/>
    <w:rsid w:val="40603816"/>
    <w:rsid w:val="40705BDF"/>
    <w:rsid w:val="40712C3E"/>
    <w:rsid w:val="407857FF"/>
    <w:rsid w:val="407A6407"/>
    <w:rsid w:val="407C7365"/>
    <w:rsid w:val="408D3182"/>
    <w:rsid w:val="409F2507"/>
    <w:rsid w:val="40A317A1"/>
    <w:rsid w:val="40B76625"/>
    <w:rsid w:val="40BF20CC"/>
    <w:rsid w:val="40C92EF7"/>
    <w:rsid w:val="40CE0122"/>
    <w:rsid w:val="40D13332"/>
    <w:rsid w:val="40DA25C6"/>
    <w:rsid w:val="40DC41E9"/>
    <w:rsid w:val="41085430"/>
    <w:rsid w:val="411A0409"/>
    <w:rsid w:val="4128496C"/>
    <w:rsid w:val="413678BD"/>
    <w:rsid w:val="414307A9"/>
    <w:rsid w:val="414763E9"/>
    <w:rsid w:val="41482753"/>
    <w:rsid w:val="41497137"/>
    <w:rsid w:val="41515838"/>
    <w:rsid w:val="4152660B"/>
    <w:rsid w:val="41585ACA"/>
    <w:rsid w:val="419F3CB4"/>
    <w:rsid w:val="41B17EE1"/>
    <w:rsid w:val="41B22180"/>
    <w:rsid w:val="41BA5E57"/>
    <w:rsid w:val="41C40B6A"/>
    <w:rsid w:val="41E23790"/>
    <w:rsid w:val="41E238A1"/>
    <w:rsid w:val="41F072C2"/>
    <w:rsid w:val="41F14804"/>
    <w:rsid w:val="41F230C3"/>
    <w:rsid w:val="41FF5997"/>
    <w:rsid w:val="42003082"/>
    <w:rsid w:val="4200449D"/>
    <w:rsid w:val="421236E1"/>
    <w:rsid w:val="421D4476"/>
    <w:rsid w:val="4220757E"/>
    <w:rsid w:val="422663A0"/>
    <w:rsid w:val="423129BC"/>
    <w:rsid w:val="423A3BCC"/>
    <w:rsid w:val="424077D8"/>
    <w:rsid w:val="424956BE"/>
    <w:rsid w:val="424E57D2"/>
    <w:rsid w:val="425872E7"/>
    <w:rsid w:val="425F0650"/>
    <w:rsid w:val="426169BE"/>
    <w:rsid w:val="4262686E"/>
    <w:rsid w:val="42782981"/>
    <w:rsid w:val="4294080B"/>
    <w:rsid w:val="42A20A66"/>
    <w:rsid w:val="42A80FFA"/>
    <w:rsid w:val="42B26C49"/>
    <w:rsid w:val="42B910BF"/>
    <w:rsid w:val="42C02175"/>
    <w:rsid w:val="42C84589"/>
    <w:rsid w:val="42CA1D33"/>
    <w:rsid w:val="42D609F7"/>
    <w:rsid w:val="42D70F09"/>
    <w:rsid w:val="42DD1864"/>
    <w:rsid w:val="42E24702"/>
    <w:rsid w:val="43020744"/>
    <w:rsid w:val="43061111"/>
    <w:rsid w:val="43103163"/>
    <w:rsid w:val="43292FCE"/>
    <w:rsid w:val="433756AF"/>
    <w:rsid w:val="433A599D"/>
    <w:rsid w:val="433A6FE6"/>
    <w:rsid w:val="433B1988"/>
    <w:rsid w:val="43480868"/>
    <w:rsid w:val="4350713C"/>
    <w:rsid w:val="43584F93"/>
    <w:rsid w:val="435A6CBC"/>
    <w:rsid w:val="43654C5F"/>
    <w:rsid w:val="436653E0"/>
    <w:rsid w:val="436963D6"/>
    <w:rsid w:val="43757C4A"/>
    <w:rsid w:val="43806620"/>
    <w:rsid w:val="438F10B4"/>
    <w:rsid w:val="439E6FFC"/>
    <w:rsid w:val="43A01BFE"/>
    <w:rsid w:val="43A702BF"/>
    <w:rsid w:val="43A86474"/>
    <w:rsid w:val="43B4558C"/>
    <w:rsid w:val="43B563DB"/>
    <w:rsid w:val="43BC5959"/>
    <w:rsid w:val="43C40AB8"/>
    <w:rsid w:val="43C4431A"/>
    <w:rsid w:val="43D43580"/>
    <w:rsid w:val="43D45114"/>
    <w:rsid w:val="43E91273"/>
    <w:rsid w:val="43EC66F8"/>
    <w:rsid w:val="43F06B65"/>
    <w:rsid w:val="43F41B4A"/>
    <w:rsid w:val="43FB019E"/>
    <w:rsid w:val="44154C4D"/>
    <w:rsid w:val="44183263"/>
    <w:rsid w:val="441F0864"/>
    <w:rsid w:val="44230853"/>
    <w:rsid w:val="4425681E"/>
    <w:rsid w:val="44314AE8"/>
    <w:rsid w:val="444A319E"/>
    <w:rsid w:val="444C527D"/>
    <w:rsid w:val="4456349E"/>
    <w:rsid w:val="44563FE3"/>
    <w:rsid w:val="445E107A"/>
    <w:rsid w:val="44654E2F"/>
    <w:rsid w:val="4468668A"/>
    <w:rsid w:val="44694953"/>
    <w:rsid w:val="446D2809"/>
    <w:rsid w:val="4470465C"/>
    <w:rsid w:val="44762D55"/>
    <w:rsid w:val="44896997"/>
    <w:rsid w:val="44981817"/>
    <w:rsid w:val="44A63EEB"/>
    <w:rsid w:val="44AE4536"/>
    <w:rsid w:val="44B951CC"/>
    <w:rsid w:val="44CD14E0"/>
    <w:rsid w:val="44F0137C"/>
    <w:rsid w:val="44F20B0B"/>
    <w:rsid w:val="44FE6BD7"/>
    <w:rsid w:val="450845F8"/>
    <w:rsid w:val="450C03B2"/>
    <w:rsid w:val="45101013"/>
    <w:rsid w:val="452C7680"/>
    <w:rsid w:val="452E5F4C"/>
    <w:rsid w:val="45313CE9"/>
    <w:rsid w:val="45340332"/>
    <w:rsid w:val="45527BCE"/>
    <w:rsid w:val="455A6F18"/>
    <w:rsid w:val="45612018"/>
    <w:rsid w:val="45631A7C"/>
    <w:rsid w:val="45696BCE"/>
    <w:rsid w:val="45700ACD"/>
    <w:rsid w:val="458946E9"/>
    <w:rsid w:val="459F254B"/>
    <w:rsid w:val="45A2482E"/>
    <w:rsid w:val="45A44F94"/>
    <w:rsid w:val="45A47C0E"/>
    <w:rsid w:val="45A62874"/>
    <w:rsid w:val="45A77355"/>
    <w:rsid w:val="45AB41D8"/>
    <w:rsid w:val="45AC1091"/>
    <w:rsid w:val="45AF171A"/>
    <w:rsid w:val="45C3226F"/>
    <w:rsid w:val="45DE71A5"/>
    <w:rsid w:val="45E75CD0"/>
    <w:rsid w:val="45EE5F10"/>
    <w:rsid w:val="45F62A73"/>
    <w:rsid w:val="45F77E63"/>
    <w:rsid w:val="45FB4DD8"/>
    <w:rsid w:val="460332AD"/>
    <w:rsid w:val="460F07C3"/>
    <w:rsid w:val="4619316D"/>
    <w:rsid w:val="461B7EA3"/>
    <w:rsid w:val="461F0111"/>
    <w:rsid w:val="46210199"/>
    <w:rsid w:val="463760F1"/>
    <w:rsid w:val="463B0D33"/>
    <w:rsid w:val="463B4CEB"/>
    <w:rsid w:val="46430543"/>
    <w:rsid w:val="46442F89"/>
    <w:rsid w:val="46494C56"/>
    <w:rsid w:val="464E50C6"/>
    <w:rsid w:val="464E5E47"/>
    <w:rsid w:val="46505F12"/>
    <w:rsid w:val="46577FD6"/>
    <w:rsid w:val="466370F9"/>
    <w:rsid w:val="4667626F"/>
    <w:rsid w:val="467A3BEE"/>
    <w:rsid w:val="468063BA"/>
    <w:rsid w:val="468B15E5"/>
    <w:rsid w:val="46971EF1"/>
    <w:rsid w:val="46A56CE6"/>
    <w:rsid w:val="46B21FDF"/>
    <w:rsid w:val="46BD0EAA"/>
    <w:rsid w:val="46C16F73"/>
    <w:rsid w:val="46C32145"/>
    <w:rsid w:val="46D955A7"/>
    <w:rsid w:val="46DC0954"/>
    <w:rsid w:val="46DC68A7"/>
    <w:rsid w:val="46E06157"/>
    <w:rsid w:val="46FB35EC"/>
    <w:rsid w:val="46FC7F4F"/>
    <w:rsid w:val="47133957"/>
    <w:rsid w:val="471F5D2A"/>
    <w:rsid w:val="472235E5"/>
    <w:rsid w:val="47313946"/>
    <w:rsid w:val="47410BA0"/>
    <w:rsid w:val="47423A00"/>
    <w:rsid w:val="47615320"/>
    <w:rsid w:val="47653D2C"/>
    <w:rsid w:val="477404D2"/>
    <w:rsid w:val="4782143B"/>
    <w:rsid w:val="478C73E6"/>
    <w:rsid w:val="47953222"/>
    <w:rsid w:val="4796121D"/>
    <w:rsid w:val="47A07E0C"/>
    <w:rsid w:val="47A252B2"/>
    <w:rsid w:val="47B64D04"/>
    <w:rsid w:val="47BB5D3F"/>
    <w:rsid w:val="47BF2F4E"/>
    <w:rsid w:val="47C328A4"/>
    <w:rsid w:val="47CC1931"/>
    <w:rsid w:val="47CF48B8"/>
    <w:rsid w:val="47DF16A5"/>
    <w:rsid w:val="47E93D76"/>
    <w:rsid w:val="480271AF"/>
    <w:rsid w:val="48053C92"/>
    <w:rsid w:val="481D4DF5"/>
    <w:rsid w:val="4823505E"/>
    <w:rsid w:val="482475AB"/>
    <w:rsid w:val="4833566C"/>
    <w:rsid w:val="483B61E5"/>
    <w:rsid w:val="484013BA"/>
    <w:rsid w:val="48467766"/>
    <w:rsid w:val="48491EBC"/>
    <w:rsid w:val="484E0683"/>
    <w:rsid w:val="48571090"/>
    <w:rsid w:val="4870272E"/>
    <w:rsid w:val="4880572A"/>
    <w:rsid w:val="489655C8"/>
    <w:rsid w:val="48A93D68"/>
    <w:rsid w:val="48AC6553"/>
    <w:rsid w:val="48C1064A"/>
    <w:rsid w:val="48C7481B"/>
    <w:rsid w:val="48E23D29"/>
    <w:rsid w:val="48E36858"/>
    <w:rsid w:val="48EB7665"/>
    <w:rsid w:val="48ED608E"/>
    <w:rsid w:val="48FB143D"/>
    <w:rsid w:val="48FF3D15"/>
    <w:rsid w:val="4903478C"/>
    <w:rsid w:val="49084D5B"/>
    <w:rsid w:val="491D64C3"/>
    <w:rsid w:val="4924265E"/>
    <w:rsid w:val="492A5B34"/>
    <w:rsid w:val="492F5E0E"/>
    <w:rsid w:val="49303486"/>
    <w:rsid w:val="493D08BE"/>
    <w:rsid w:val="494634F2"/>
    <w:rsid w:val="494B7BBA"/>
    <w:rsid w:val="495B5A82"/>
    <w:rsid w:val="496315DE"/>
    <w:rsid w:val="49640A86"/>
    <w:rsid w:val="496839E3"/>
    <w:rsid w:val="496938C1"/>
    <w:rsid w:val="497C7F05"/>
    <w:rsid w:val="49A116B7"/>
    <w:rsid w:val="49A16E1C"/>
    <w:rsid w:val="49A27C0B"/>
    <w:rsid w:val="49A70D0B"/>
    <w:rsid w:val="49AB3E16"/>
    <w:rsid w:val="49B055F2"/>
    <w:rsid w:val="49BA413A"/>
    <w:rsid w:val="49BC09E9"/>
    <w:rsid w:val="49C40631"/>
    <w:rsid w:val="49CE0A03"/>
    <w:rsid w:val="49CF37F3"/>
    <w:rsid w:val="49DC7715"/>
    <w:rsid w:val="49E77263"/>
    <w:rsid w:val="49EB5DDF"/>
    <w:rsid w:val="49EE07C9"/>
    <w:rsid w:val="49FB6540"/>
    <w:rsid w:val="4A023139"/>
    <w:rsid w:val="4A0F2C84"/>
    <w:rsid w:val="4A190390"/>
    <w:rsid w:val="4A1D11B1"/>
    <w:rsid w:val="4A262C75"/>
    <w:rsid w:val="4A264E65"/>
    <w:rsid w:val="4A273682"/>
    <w:rsid w:val="4A3168CE"/>
    <w:rsid w:val="4A33710A"/>
    <w:rsid w:val="4A473E2B"/>
    <w:rsid w:val="4A492EC6"/>
    <w:rsid w:val="4A5D2927"/>
    <w:rsid w:val="4A6719F7"/>
    <w:rsid w:val="4A7B576F"/>
    <w:rsid w:val="4A7E5C7F"/>
    <w:rsid w:val="4A835E0A"/>
    <w:rsid w:val="4AA30D15"/>
    <w:rsid w:val="4AAC4DBE"/>
    <w:rsid w:val="4AB836D1"/>
    <w:rsid w:val="4AC07B59"/>
    <w:rsid w:val="4AD64AD7"/>
    <w:rsid w:val="4ADF464C"/>
    <w:rsid w:val="4AE751A6"/>
    <w:rsid w:val="4AF561A9"/>
    <w:rsid w:val="4AFE79FD"/>
    <w:rsid w:val="4B0A6204"/>
    <w:rsid w:val="4B20063D"/>
    <w:rsid w:val="4B2943FA"/>
    <w:rsid w:val="4B312DE1"/>
    <w:rsid w:val="4B4F0A95"/>
    <w:rsid w:val="4B4F739E"/>
    <w:rsid w:val="4B567B0A"/>
    <w:rsid w:val="4B6000D2"/>
    <w:rsid w:val="4B6D03B0"/>
    <w:rsid w:val="4B6E1651"/>
    <w:rsid w:val="4B8D4F59"/>
    <w:rsid w:val="4B917234"/>
    <w:rsid w:val="4B934DDF"/>
    <w:rsid w:val="4B9D6B5D"/>
    <w:rsid w:val="4BA17F0A"/>
    <w:rsid w:val="4BAF48A1"/>
    <w:rsid w:val="4BB147E1"/>
    <w:rsid w:val="4BB26B46"/>
    <w:rsid w:val="4BBE0105"/>
    <w:rsid w:val="4BC039D4"/>
    <w:rsid w:val="4BC12386"/>
    <w:rsid w:val="4BCD7833"/>
    <w:rsid w:val="4BD2289D"/>
    <w:rsid w:val="4C086D22"/>
    <w:rsid w:val="4C0C0305"/>
    <w:rsid w:val="4C0D15D0"/>
    <w:rsid w:val="4C116037"/>
    <w:rsid w:val="4C2F0822"/>
    <w:rsid w:val="4C354D5C"/>
    <w:rsid w:val="4C4A0649"/>
    <w:rsid w:val="4C590901"/>
    <w:rsid w:val="4C5D2750"/>
    <w:rsid w:val="4C5E3870"/>
    <w:rsid w:val="4C694A5B"/>
    <w:rsid w:val="4C7A70E4"/>
    <w:rsid w:val="4C7E5ECA"/>
    <w:rsid w:val="4C846A11"/>
    <w:rsid w:val="4C8569EC"/>
    <w:rsid w:val="4C876AA5"/>
    <w:rsid w:val="4C8A6014"/>
    <w:rsid w:val="4C9C5DAB"/>
    <w:rsid w:val="4CBF2CB8"/>
    <w:rsid w:val="4CBF35D4"/>
    <w:rsid w:val="4CCC14CF"/>
    <w:rsid w:val="4CD331B5"/>
    <w:rsid w:val="4CDD3BAE"/>
    <w:rsid w:val="4CE2023D"/>
    <w:rsid w:val="4CE54FEC"/>
    <w:rsid w:val="4CE831E0"/>
    <w:rsid w:val="4CF37BD0"/>
    <w:rsid w:val="4CFE1EB7"/>
    <w:rsid w:val="4D013E9A"/>
    <w:rsid w:val="4D0339BF"/>
    <w:rsid w:val="4D0E00FB"/>
    <w:rsid w:val="4D0F73C4"/>
    <w:rsid w:val="4D150B86"/>
    <w:rsid w:val="4D176606"/>
    <w:rsid w:val="4D202359"/>
    <w:rsid w:val="4D391A57"/>
    <w:rsid w:val="4D3E743A"/>
    <w:rsid w:val="4D4B0674"/>
    <w:rsid w:val="4D580CD3"/>
    <w:rsid w:val="4D5A714C"/>
    <w:rsid w:val="4D603BFD"/>
    <w:rsid w:val="4D65753C"/>
    <w:rsid w:val="4D6B47A3"/>
    <w:rsid w:val="4D6F17F7"/>
    <w:rsid w:val="4D6F1908"/>
    <w:rsid w:val="4D7377C1"/>
    <w:rsid w:val="4D794D4C"/>
    <w:rsid w:val="4D7A0936"/>
    <w:rsid w:val="4D894575"/>
    <w:rsid w:val="4D8C5098"/>
    <w:rsid w:val="4D960FD7"/>
    <w:rsid w:val="4DA44A08"/>
    <w:rsid w:val="4DA87BDC"/>
    <w:rsid w:val="4DAB686D"/>
    <w:rsid w:val="4DAE3A3B"/>
    <w:rsid w:val="4DB051CC"/>
    <w:rsid w:val="4DD903F4"/>
    <w:rsid w:val="4DEC4FB0"/>
    <w:rsid w:val="4DF3337E"/>
    <w:rsid w:val="4DF42442"/>
    <w:rsid w:val="4DF74B42"/>
    <w:rsid w:val="4DFC0DF7"/>
    <w:rsid w:val="4E075D8A"/>
    <w:rsid w:val="4E0C77E8"/>
    <w:rsid w:val="4E264D20"/>
    <w:rsid w:val="4E267A27"/>
    <w:rsid w:val="4E2B5E2C"/>
    <w:rsid w:val="4E315C2F"/>
    <w:rsid w:val="4E405F47"/>
    <w:rsid w:val="4E541C98"/>
    <w:rsid w:val="4E564CEE"/>
    <w:rsid w:val="4E76740E"/>
    <w:rsid w:val="4E7D7844"/>
    <w:rsid w:val="4E810999"/>
    <w:rsid w:val="4E87421C"/>
    <w:rsid w:val="4E8B241A"/>
    <w:rsid w:val="4E922CAF"/>
    <w:rsid w:val="4E9910DD"/>
    <w:rsid w:val="4EA96E88"/>
    <w:rsid w:val="4EBC0520"/>
    <w:rsid w:val="4EBC0572"/>
    <w:rsid w:val="4EC00FAD"/>
    <w:rsid w:val="4EC03D2E"/>
    <w:rsid w:val="4EC62CED"/>
    <w:rsid w:val="4EDC634E"/>
    <w:rsid w:val="4EE63335"/>
    <w:rsid w:val="4EEB4EBE"/>
    <w:rsid w:val="4EF562EB"/>
    <w:rsid w:val="4F1C3FB1"/>
    <w:rsid w:val="4F297EF7"/>
    <w:rsid w:val="4F3508B0"/>
    <w:rsid w:val="4F485AFF"/>
    <w:rsid w:val="4F490F2F"/>
    <w:rsid w:val="4F6A40A8"/>
    <w:rsid w:val="4F944713"/>
    <w:rsid w:val="4F9843DC"/>
    <w:rsid w:val="4FA40955"/>
    <w:rsid w:val="4FA778ED"/>
    <w:rsid w:val="4FB73D4D"/>
    <w:rsid w:val="4FC62A8C"/>
    <w:rsid w:val="4FC958C8"/>
    <w:rsid w:val="4FCE0F42"/>
    <w:rsid w:val="4FCE6737"/>
    <w:rsid w:val="4FE20F0D"/>
    <w:rsid w:val="4FE50397"/>
    <w:rsid w:val="4FE51552"/>
    <w:rsid w:val="4FE80B91"/>
    <w:rsid w:val="4FF03F93"/>
    <w:rsid w:val="4FF138DB"/>
    <w:rsid w:val="4FFA6A60"/>
    <w:rsid w:val="50020414"/>
    <w:rsid w:val="500217D9"/>
    <w:rsid w:val="5002794C"/>
    <w:rsid w:val="50046757"/>
    <w:rsid w:val="5005769D"/>
    <w:rsid w:val="500A02BB"/>
    <w:rsid w:val="500C4D82"/>
    <w:rsid w:val="501514E2"/>
    <w:rsid w:val="501E6589"/>
    <w:rsid w:val="50381FB4"/>
    <w:rsid w:val="503B073A"/>
    <w:rsid w:val="504145D9"/>
    <w:rsid w:val="504B18BF"/>
    <w:rsid w:val="50504C4B"/>
    <w:rsid w:val="50607A80"/>
    <w:rsid w:val="50682B35"/>
    <w:rsid w:val="509C6E7C"/>
    <w:rsid w:val="50A249E3"/>
    <w:rsid w:val="50A55E9E"/>
    <w:rsid w:val="50AC205A"/>
    <w:rsid w:val="50B05B4B"/>
    <w:rsid w:val="50C148A8"/>
    <w:rsid w:val="50C81602"/>
    <w:rsid w:val="50CA31F3"/>
    <w:rsid w:val="50F330F9"/>
    <w:rsid w:val="512205AE"/>
    <w:rsid w:val="51254418"/>
    <w:rsid w:val="512922E9"/>
    <w:rsid w:val="512F301A"/>
    <w:rsid w:val="51445A4A"/>
    <w:rsid w:val="514A5C63"/>
    <w:rsid w:val="51543134"/>
    <w:rsid w:val="515E4BD7"/>
    <w:rsid w:val="5162104E"/>
    <w:rsid w:val="51797D0A"/>
    <w:rsid w:val="517A1796"/>
    <w:rsid w:val="517A6D64"/>
    <w:rsid w:val="51837BEB"/>
    <w:rsid w:val="51AD64B0"/>
    <w:rsid w:val="51AF07D0"/>
    <w:rsid w:val="51DD6403"/>
    <w:rsid w:val="51E07179"/>
    <w:rsid w:val="51E606CA"/>
    <w:rsid w:val="51E66A98"/>
    <w:rsid w:val="51F5370F"/>
    <w:rsid w:val="51F7473B"/>
    <w:rsid w:val="52084035"/>
    <w:rsid w:val="52185AAE"/>
    <w:rsid w:val="5228402E"/>
    <w:rsid w:val="522A30EB"/>
    <w:rsid w:val="52365F87"/>
    <w:rsid w:val="523F0897"/>
    <w:rsid w:val="5246186A"/>
    <w:rsid w:val="524636DD"/>
    <w:rsid w:val="52484B40"/>
    <w:rsid w:val="525740B3"/>
    <w:rsid w:val="526907B6"/>
    <w:rsid w:val="526D2F19"/>
    <w:rsid w:val="52724A08"/>
    <w:rsid w:val="52784C28"/>
    <w:rsid w:val="52831DF4"/>
    <w:rsid w:val="52837C0F"/>
    <w:rsid w:val="528C1001"/>
    <w:rsid w:val="528C554C"/>
    <w:rsid w:val="52B90DB6"/>
    <w:rsid w:val="52BC7A3C"/>
    <w:rsid w:val="52C96BEF"/>
    <w:rsid w:val="52CA2690"/>
    <w:rsid w:val="52D33288"/>
    <w:rsid w:val="52D92AFB"/>
    <w:rsid w:val="52DA1938"/>
    <w:rsid w:val="52DD467F"/>
    <w:rsid w:val="52E245F0"/>
    <w:rsid w:val="52E758EA"/>
    <w:rsid w:val="530303CF"/>
    <w:rsid w:val="53087C89"/>
    <w:rsid w:val="53166D1E"/>
    <w:rsid w:val="53195F5A"/>
    <w:rsid w:val="531D6F78"/>
    <w:rsid w:val="532B18B0"/>
    <w:rsid w:val="532C1D0B"/>
    <w:rsid w:val="532C7F59"/>
    <w:rsid w:val="53381C9F"/>
    <w:rsid w:val="533B121B"/>
    <w:rsid w:val="5344791F"/>
    <w:rsid w:val="53447F3A"/>
    <w:rsid w:val="535420C8"/>
    <w:rsid w:val="5358171C"/>
    <w:rsid w:val="535B78D1"/>
    <w:rsid w:val="53753A7C"/>
    <w:rsid w:val="53792676"/>
    <w:rsid w:val="537F6667"/>
    <w:rsid w:val="53957F15"/>
    <w:rsid w:val="53A039CC"/>
    <w:rsid w:val="53A1505A"/>
    <w:rsid w:val="53A85D06"/>
    <w:rsid w:val="53A9272C"/>
    <w:rsid w:val="53D3703F"/>
    <w:rsid w:val="53E930BC"/>
    <w:rsid w:val="54063E08"/>
    <w:rsid w:val="54192C85"/>
    <w:rsid w:val="542713D6"/>
    <w:rsid w:val="543118F9"/>
    <w:rsid w:val="543437E8"/>
    <w:rsid w:val="54357E5F"/>
    <w:rsid w:val="54361D53"/>
    <w:rsid w:val="543E19ED"/>
    <w:rsid w:val="54490587"/>
    <w:rsid w:val="544A2769"/>
    <w:rsid w:val="544B7E60"/>
    <w:rsid w:val="54537C97"/>
    <w:rsid w:val="5464629A"/>
    <w:rsid w:val="54676EB8"/>
    <w:rsid w:val="54743E52"/>
    <w:rsid w:val="54813D44"/>
    <w:rsid w:val="548310F4"/>
    <w:rsid w:val="549153D7"/>
    <w:rsid w:val="5493419E"/>
    <w:rsid w:val="54972474"/>
    <w:rsid w:val="54A96CDC"/>
    <w:rsid w:val="54AD5125"/>
    <w:rsid w:val="54B802E2"/>
    <w:rsid w:val="54B8609B"/>
    <w:rsid w:val="54BF77B8"/>
    <w:rsid w:val="54C369F6"/>
    <w:rsid w:val="54C82863"/>
    <w:rsid w:val="54D37E52"/>
    <w:rsid w:val="54D72767"/>
    <w:rsid w:val="54DC0B1E"/>
    <w:rsid w:val="54DC1C1B"/>
    <w:rsid w:val="54F61E64"/>
    <w:rsid w:val="54F677A7"/>
    <w:rsid w:val="54F73313"/>
    <w:rsid w:val="54F80955"/>
    <w:rsid w:val="54F97650"/>
    <w:rsid w:val="55052540"/>
    <w:rsid w:val="552565CB"/>
    <w:rsid w:val="552A5BE5"/>
    <w:rsid w:val="55356640"/>
    <w:rsid w:val="553D6592"/>
    <w:rsid w:val="553F1DEF"/>
    <w:rsid w:val="55503D0D"/>
    <w:rsid w:val="555170A7"/>
    <w:rsid w:val="55531B37"/>
    <w:rsid w:val="555F2B0D"/>
    <w:rsid w:val="556931F4"/>
    <w:rsid w:val="556F0B8A"/>
    <w:rsid w:val="55720F28"/>
    <w:rsid w:val="557261AE"/>
    <w:rsid w:val="557B7E58"/>
    <w:rsid w:val="557F1978"/>
    <w:rsid w:val="5587536D"/>
    <w:rsid w:val="558E45C4"/>
    <w:rsid w:val="55923AD6"/>
    <w:rsid w:val="55961D0C"/>
    <w:rsid w:val="559B174B"/>
    <w:rsid w:val="559C301B"/>
    <w:rsid w:val="55AC2463"/>
    <w:rsid w:val="55AD5DAA"/>
    <w:rsid w:val="55B5694B"/>
    <w:rsid w:val="55C2174D"/>
    <w:rsid w:val="55CE0CF4"/>
    <w:rsid w:val="55D571C5"/>
    <w:rsid w:val="55DB1CEB"/>
    <w:rsid w:val="55DD7BF9"/>
    <w:rsid w:val="55F07E09"/>
    <w:rsid w:val="55F54C19"/>
    <w:rsid w:val="55FE063F"/>
    <w:rsid w:val="5602453C"/>
    <w:rsid w:val="56116AA5"/>
    <w:rsid w:val="561911F4"/>
    <w:rsid w:val="561D65A1"/>
    <w:rsid w:val="56323411"/>
    <w:rsid w:val="563252F6"/>
    <w:rsid w:val="56344EA8"/>
    <w:rsid w:val="563F3838"/>
    <w:rsid w:val="565B64EE"/>
    <w:rsid w:val="56610989"/>
    <w:rsid w:val="566B7629"/>
    <w:rsid w:val="567A6A0F"/>
    <w:rsid w:val="567B3B35"/>
    <w:rsid w:val="56881930"/>
    <w:rsid w:val="568B5A4B"/>
    <w:rsid w:val="56942B09"/>
    <w:rsid w:val="56983D1C"/>
    <w:rsid w:val="56AC7846"/>
    <w:rsid w:val="56AF03B5"/>
    <w:rsid w:val="56B22A9C"/>
    <w:rsid w:val="56B36045"/>
    <w:rsid w:val="56C92255"/>
    <w:rsid w:val="56CC1E41"/>
    <w:rsid w:val="56CF5407"/>
    <w:rsid w:val="56D7268E"/>
    <w:rsid w:val="56E50F3B"/>
    <w:rsid w:val="56E67640"/>
    <w:rsid w:val="56EE3553"/>
    <w:rsid w:val="56EE7829"/>
    <w:rsid w:val="56F04C16"/>
    <w:rsid w:val="56FC036B"/>
    <w:rsid w:val="57064B35"/>
    <w:rsid w:val="57077041"/>
    <w:rsid w:val="570911F1"/>
    <w:rsid w:val="5712653A"/>
    <w:rsid w:val="571B71C2"/>
    <w:rsid w:val="572F5A88"/>
    <w:rsid w:val="573A0D35"/>
    <w:rsid w:val="573D1B7F"/>
    <w:rsid w:val="574B634C"/>
    <w:rsid w:val="57563AFE"/>
    <w:rsid w:val="5756486B"/>
    <w:rsid w:val="576071BE"/>
    <w:rsid w:val="576535E6"/>
    <w:rsid w:val="578B205D"/>
    <w:rsid w:val="578C48DD"/>
    <w:rsid w:val="578E04D1"/>
    <w:rsid w:val="57930B09"/>
    <w:rsid w:val="57943C1C"/>
    <w:rsid w:val="57983F07"/>
    <w:rsid w:val="57994F92"/>
    <w:rsid w:val="57A4647C"/>
    <w:rsid w:val="57A64005"/>
    <w:rsid w:val="57B72A76"/>
    <w:rsid w:val="57B73355"/>
    <w:rsid w:val="57B96947"/>
    <w:rsid w:val="57B97E3F"/>
    <w:rsid w:val="57BF1CBC"/>
    <w:rsid w:val="57C3426C"/>
    <w:rsid w:val="57C7369A"/>
    <w:rsid w:val="57CE1F93"/>
    <w:rsid w:val="57D61136"/>
    <w:rsid w:val="57D6230D"/>
    <w:rsid w:val="57DF47E6"/>
    <w:rsid w:val="57E54DA8"/>
    <w:rsid w:val="57E6189A"/>
    <w:rsid w:val="57EC24CD"/>
    <w:rsid w:val="57ED2D0B"/>
    <w:rsid w:val="57F22C57"/>
    <w:rsid w:val="57F8673C"/>
    <w:rsid w:val="57FE338D"/>
    <w:rsid w:val="58237C09"/>
    <w:rsid w:val="58377FC0"/>
    <w:rsid w:val="583C1ADB"/>
    <w:rsid w:val="583C7C5B"/>
    <w:rsid w:val="583F55A7"/>
    <w:rsid w:val="583F5E1C"/>
    <w:rsid w:val="586B6F6D"/>
    <w:rsid w:val="586E19CD"/>
    <w:rsid w:val="5884519E"/>
    <w:rsid w:val="588743D1"/>
    <w:rsid w:val="5887701A"/>
    <w:rsid w:val="588E3325"/>
    <w:rsid w:val="58932A60"/>
    <w:rsid w:val="58953E48"/>
    <w:rsid w:val="589D2D58"/>
    <w:rsid w:val="589E7440"/>
    <w:rsid w:val="58A8719D"/>
    <w:rsid w:val="58C0622E"/>
    <w:rsid w:val="58C427A9"/>
    <w:rsid w:val="58CD0F8D"/>
    <w:rsid w:val="58D15374"/>
    <w:rsid w:val="58D263E0"/>
    <w:rsid w:val="58D34F78"/>
    <w:rsid w:val="58D57D53"/>
    <w:rsid w:val="58DA32E8"/>
    <w:rsid w:val="58E255AC"/>
    <w:rsid w:val="58EF4CA1"/>
    <w:rsid w:val="58F45B63"/>
    <w:rsid w:val="58FE0A93"/>
    <w:rsid w:val="590332DB"/>
    <w:rsid w:val="59051F0D"/>
    <w:rsid w:val="590F3BE9"/>
    <w:rsid w:val="59104404"/>
    <w:rsid w:val="591B0E14"/>
    <w:rsid w:val="591D5A28"/>
    <w:rsid w:val="591F4FB0"/>
    <w:rsid w:val="593751B2"/>
    <w:rsid w:val="59397BA8"/>
    <w:rsid w:val="593E3756"/>
    <w:rsid w:val="595B2F40"/>
    <w:rsid w:val="596C1E41"/>
    <w:rsid w:val="59886251"/>
    <w:rsid w:val="598D7DF0"/>
    <w:rsid w:val="599E1643"/>
    <w:rsid w:val="59A45A98"/>
    <w:rsid w:val="59B31C72"/>
    <w:rsid w:val="59C0439F"/>
    <w:rsid w:val="59C42A83"/>
    <w:rsid w:val="59E27755"/>
    <w:rsid w:val="59E478EA"/>
    <w:rsid w:val="59EF4BE5"/>
    <w:rsid w:val="59F23D97"/>
    <w:rsid w:val="59FB4121"/>
    <w:rsid w:val="59FB5F4A"/>
    <w:rsid w:val="59FC77A5"/>
    <w:rsid w:val="59FD0FEF"/>
    <w:rsid w:val="5A0F6080"/>
    <w:rsid w:val="5A254458"/>
    <w:rsid w:val="5A393CA0"/>
    <w:rsid w:val="5A4B46A5"/>
    <w:rsid w:val="5A5B2B0B"/>
    <w:rsid w:val="5A6A2832"/>
    <w:rsid w:val="5A73456D"/>
    <w:rsid w:val="5A7469E8"/>
    <w:rsid w:val="5A83737D"/>
    <w:rsid w:val="5AA213F6"/>
    <w:rsid w:val="5AAF35B8"/>
    <w:rsid w:val="5ABD7BFE"/>
    <w:rsid w:val="5ABE2233"/>
    <w:rsid w:val="5ABF30CA"/>
    <w:rsid w:val="5AC36E73"/>
    <w:rsid w:val="5ACF79B4"/>
    <w:rsid w:val="5AFA09E6"/>
    <w:rsid w:val="5B081871"/>
    <w:rsid w:val="5B2D510E"/>
    <w:rsid w:val="5B3168A9"/>
    <w:rsid w:val="5B373B37"/>
    <w:rsid w:val="5B5B39D3"/>
    <w:rsid w:val="5B5D7B90"/>
    <w:rsid w:val="5B5E2E99"/>
    <w:rsid w:val="5B651526"/>
    <w:rsid w:val="5B665043"/>
    <w:rsid w:val="5B6913B8"/>
    <w:rsid w:val="5B6A12C0"/>
    <w:rsid w:val="5B765C31"/>
    <w:rsid w:val="5B7871C0"/>
    <w:rsid w:val="5B7D45B9"/>
    <w:rsid w:val="5B99099A"/>
    <w:rsid w:val="5BA9745B"/>
    <w:rsid w:val="5BAB71D6"/>
    <w:rsid w:val="5BB32A3B"/>
    <w:rsid w:val="5BD14932"/>
    <w:rsid w:val="5BDF5D95"/>
    <w:rsid w:val="5BE351C1"/>
    <w:rsid w:val="5BE767F7"/>
    <w:rsid w:val="5BEE768F"/>
    <w:rsid w:val="5BF03EFD"/>
    <w:rsid w:val="5BF0578D"/>
    <w:rsid w:val="5BF9051E"/>
    <w:rsid w:val="5BF94CAD"/>
    <w:rsid w:val="5BFE7528"/>
    <w:rsid w:val="5C070AC1"/>
    <w:rsid w:val="5C300720"/>
    <w:rsid w:val="5C4438EC"/>
    <w:rsid w:val="5C7B4718"/>
    <w:rsid w:val="5C8D42E7"/>
    <w:rsid w:val="5C977B98"/>
    <w:rsid w:val="5CB62424"/>
    <w:rsid w:val="5CBD7D17"/>
    <w:rsid w:val="5CC83E64"/>
    <w:rsid w:val="5CC84365"/>
    <w:rsid w:val="5CC909A7"/>
    <w:rsid w:val="5CC94061"/>
    <w:rsid w:val="5CCD5878"/>
    <w:rsid w:val="5CCE39CD"/>
    <w:rsid w:val="5CCE591E"/>
    <w:rsid w:val="5CD76CF6"/>
    <w:rsid w:val="5CE25E2D"/>
    <w:rsid w:val="5CE62DB2"/>
    <w:rsid w:val="5CF112B6"/>
    <w:rsid w:val="5CF12310"/>
    <w:rsid w:val="5CF952CE"/>
    <w:rsid w:val="5CFB3854"/>
    <w:rsid w:val="5CFC719D"/>
    <w:rsid w:val="5D0B38F2"/>
    <w:rsid w:val="5D1D53A8"/>
    <w:rsid w:val="5D212E30"/>
    <w:rsid w:val="5D302A8A"/>
    <w:rsid w:val="5D48561B"/>
    <w:rsid w:val="5D4A724A"/>
    <w:rsid w:val="5D5135E7"/>
    <w:rsid w:val="5D521B6A"/>
    <w:rsid w:val="5D5715CE"/>
    <w:rsid w:val="5D57319B"/>
    <w:rsid w:val="5D6619C0"/>
    <w:rsid w:val="5D69064D"/>
    <w:rsid w:val="5D694ED4"/>
    <w:rsid w:val="5D6F036D"/>
    <w:rsid w:val="5D8C6151"/>
    <w:rsid w:val="5D8F2BD9"/>
    <w:rsid w:val="5D98230A"/>
    <w:rsid w:val="5DA87B4F"/>
    <w:rsid w:val="5DBB76B1"/>
    <w:rsid w:val="5DC859CA"/>
    <w:rsid w:val="5DDC0CBE"/>
    <w:rsid w:val="5DF8788E"/>
    <w:rsid w:val="5E0120E9"/>
    <w:rsid w:val="5E0A5AA5"/>
    <w:rsid w:val="5E124371"/>
    <w:rsid w:val="5E215F69"/>
    <w:rsid w:val="5E2467F1"/>
    <w:rsid w:val="5E251E45"/>
    <w:rsid w:val="5E2A3A7A"/>
    <w:rsid w:val="5E3155EB"/>
    <w:rsid w:val="5E340EE2"/>
    <w:rsid w:val="5E3B2909"/>
    <w:rsid w:val="5E4707FA"/>
    <w:rsid w:val="5E4914E3"/>
    <w:rsid w:val="5E5F01C4"/>
    <w:rsid w:val="5E6D5607"/>
    <w:rsid w:val="5E882E1D"/>
    <w:rsid w:val="5EAA0B15"/>
    <w:rsid w:val="5EAB6CC4"/>
    <w:rsid w:val="5EBC03AA"/>
    <w:rsid w:val="5EBD45A4"/>
    <w:rsid w:val="5EC33C95"/>
    <w:rsid w:val="5EC72FC4"/>
    <w:rsid w:val="5F174FBA"/>
    <w:rsid w:val="5F19655E"/>
    <w:rsid w:val="5F1A2B43"/>
    <w:rsid w:val="5F2B356F"/>
    <w:rsid w:val="5F480A37"/>
    <w:rsid w:val="5F6103C5"/>
    <w:rsid w:val="5F683FF7"/>
    <w:rsid w:val="5F71179C"/>
    <w:rsid w:val="5F8006FB"/>
    <w:rsid w:val="5F844C35"/>
    <w:rsid w:val="5F88208D"/>
    <w:rsid w:val="5F893AFB"/>
    <w:rsid w:val="5F8A0E85"/>
    <w:rsid w:val="5FAA630F"/>
    <w:rsid w:val="5FB837BB"/>
    <w:rsid w:val="5FCA7614"/>
    <w:rsid w:val="5FD51CC8"/>
    <w:rsid w:val="5FD93AEA"/>
    <w:rsid w:val="5FF124B6"/>
    <w:rsid w:val="5FF9601A"/>
    <w:rsid w:val="5FFD678D"/>
    <w:rsid w:val="60062B7B"/>
    <w:rsid w:val="60097B08"/>
    <w:rsid w:val="601D27A4"/>
    <w:rsid w:val="6023557E"/>
    <w:rsid w:val="602962ED"/>
    <w:rsid w:val="602A0547"/>
    <w:rsid w:val="602F26AD"/>
    <w:rsid w:val="603A6695"/>
    <w:rsid w:val="60865940"/>
    <w:rsid w:val="60901869"/>
    <w:rsid w:val="609331FC"/>
    <w:rsid w:val="609528EB"/>
    <w:rsid w:val="60975A8C"/>
    <w:rsid w:val="60A136CC"/>
    <w:rsid w:val="60AE40B9"/>
    <w:rsid w:val="60B16879"/>
    <w:rsid w:val="60B332AB"/>
    <w:rsid w:val="60BB0955"/>
    <w:rsid w:val="60C46690"/>
    <w:rsid w:val="60C90B82"/>
    <w:rsid w:val="60CC405A"/>
    <w:rsid w:val="60FC41E0"/>
    <w:rsid w:val="610457C3"/>
    <w:rsid w:val="610F2FF5"/>
    <w:rsid w:val="61246181"/>
    <w:rsid w:val="61282828"/>
    <w:rsid w:val="61432C16"/>
    <w:rsid w:val="614B3D72"/>
    <w:rsid w:val="61504622"/>
    <w:rsid w:val="616B0282"/>
    <w:rsid w:val="618118E0"/>
    <w:rsid w:val="61813956"/>
    <w:rsid w:val="61957B97"/>
    <w:rsid w:val="61BE2053"/>
    <w:rsid w:val="61DA02D5"/>
    <w:rsid w:val="61E215D8"/>
    <w:rsid w:val="61F273E0"/>
    <w:rsid w:val="61FA788E"/>
    <w:rsid w:val="6200284A"/>
    <w:rsid w:val="62030632"/>
    <w:rsid w:val="620560A0"/>
    <w:rsid w:val="620C7F16"/>
    <w:rsid w:val="621540C0"/>
    <w:rsid w:val="621B3775"/>
    <w:rsid w:val="62364782"/>
    <w:rsid w:val="6238515E"/>
    <w:rsid w:val="62417DFD"/>
    <w:rsid w:val="62436106"/>
    <w:rsid w:val="624B44F4"/>
    <w:rsid w:val="62554FB5"/>
    <w:rsid w:val="62557A35"/>
    <w:rsid w:val="62597440"/>
    <w:rsid w:val="625B4CC1"/>
    <w:rsid w:val="626204F6"/>
    <w:rsid w:val="6272252C"/>
    <w:rsid w:val="62793551"/>
    <w:rsid w:val="627E0476"/>
    <w:rsid w:val="628B4B65"/>
    <w:rsid w:val="629D306E"/>
    <w:rsid w:val="629F3946"/>
    <w:rsid w:val="62AD4F6C"/>
    <w:rsid w:val="62B17427"/>
    <w:rsid w:val="62B56211"/>
    <w:rsid w:val="62B8602B"/>
    <w:rsid w:val="62BA22D2"/>
    <w:rsid w:val="62CB5792"/>
    <w:rsid w:val="62CC6873"/>
    <w:rsid w:val="62D47F47"/>
    <w:rsid w:val="62D5148F"/>
    <w:rsid w:val="62E71042"/>
    <w:rsid w:val="62F01327"/>
    <w:rsid w:val="62FA70D9"/>
    <w:rsid w:val="62FE40EF"/>
    <w:rsid w:val="63041891"/>
    <w:rsid w:val="630466E4"/>
    <w:rsid w:val="6314017D"/>
    <w:rsid w:val="63155864"/>
    <w:rsid w:val="63174A18"/>
    <w:rsid w:val="63183A85"/>
    <w:rsid w:val="631A5866"/>
    <w:rsid w:val="632222E2"/>
    <w:rsid w:val="63297579"/>
    <w:rsid w:val="632D6074"/>
    <w:rsid w:val="633402D8"/>
    <w:rsid w:val="633766C3"/>
    <w:rsid w:val="633E63EA"/>
    <w:rsid w:val="634B2BF0"/>
    <w:rsid w:val="63631A95"/>
    <w:rsid w:val="63642601"/>
    <w:rsid w:val="63793284"/>
    <w:rsid w:val="638A5E92"/>
    <w:rsid w:val="638C01DB"/>
    <w:rsid w:val="6394356A"/>
    <w:rsid w:val="639713B1"/>
    <w:rsid w:val="63A62C6F"/>
    <w:rsid w:val="63B0195E"/>
    <w:rsid w:val="63BC3142"/>
    <w:rsid w:val="63C16849"/>
    <w:rsid w:val="63C61B2C"/>
    <w:rsid w:val="63D40BE9"/>
    <w:rsid w:val="63D669CA"/>
    <w:rsid w:val="63DA5CA1"/>
    <w:rsid w:val="63F73A0E"/>
    <w:rsid w:val="64021156"/>
    <w:rsid w:val="64102431"/>
    <w:rsid w:val="64146E38"/>
    <w:rsid w:val="64236329"/>
    <w:rsid w:val="64240542"/>
    <w:rsid w:val="64301DAD"/>
    <w:rsid w:val="643A35F7"/>
    <w:rsid w:val="643E03C9"/>
    <w:rsid w:val="6442181F"/>
    <w:rsid w:val="64573CE7"/>
    <w:rsid w:val="645B78CC"/>
    <w:rsid w:val="645C07CF"/>
    <w:rsid w:val="645D7FF7"/>
    <w:rsid w:val="646766F3"/>
    <w:rsid w:val="646C02EE"/>
    <w:rsid w:val="646F19BE"/>
    <w:rsid w:val="64786604"/>
    <w:rsid w:val="647E20BB"/>
    <w:rsid w:val="647F7000"/>
    <w:rsid w:val="64854B8D"/>
    <w:rsid w:val="648C710E"/>
    <w:rsid w:val="64A3458A"/>
    <w:rsid w:val="64A37D85"/>
    <w:rsid w:val="64A5243A"/>
    <w:rsid w:val="64A91A9E"/>
    <w:rsid w:val="64AA74AD"/>
    <w:rsid w:val="64C77690"/>
    <w:rsid w:val="64CA532B"/>
    <w:rsid w:val="64CD5D5C"/>
    <w:rsid w:val="64D0650B"/>
    <w:rsid w:val="64D152B9"/>
    <w:rsid w:val="64D34E0E"/>
    <w:rsid w:val="64D46862"/>
    <w:rsid w:val="64F011B0"/>
    <w:rsid w:val="64F531DE"/>
    <w:rsid w:val="650237B6"/>
    <w:rsid w:val="6504737B"/>
    <w:rsid w:val="65067D34"/>
    <w:rsid w:val="65121346"/>
    <w:rsid w:val="651F76E1"/>
    <w:rsid w:val="652457AD"/>
    <w:rsid w:val="652B0A4D"/>
    <w:rsid w:val="652F3B5E"/>
    <w:rsid w:val="65373578"/>
    <w:rsid w:val="653B588A"/>
    <w:rsid w:val="654C0028"/>
    <w:rsid w:val="6559346B"/>
    <w:rsid w:val="655D71C2"/>
    <w:rsid w:val="65777C37"/>
    <w:rsid w:val="65782B52"/>
    <w:rsid w:val="65834281"/>
    <w:rsid w:val="65881A4B"/>
    <w:rsid w:val="65903F70"/>
    <w:rsid w:val="659279B7"/>
    <w:rsid w:val="65A10284"/>
    <w:rsid w:val="65A202BC"/>
    <w:rsid w:val="65A70E43"/>
    <w:rsid w:val="65AA6E17"/>
    <w:rsid w:val="65B41C26"/>
    <w:rsid w:val="65B703D2"/>
    <w:rsid w:val="65C3344A"/>
    <w:rsid w:val="65C87C48"/>
    <w:rsid w:val="65D03B46"/>
    <w:rsid w:val="65DA0C82"/>
    <w:rsid w:val="65DE7963"/>
    <w:rsid w:val="65E95DA2"/>
    <w:rsid w:val="65EC4570"/>
    <w:rsid w:val="65ED1C04"/>
    <w:rsid w:val="6609374C"/>
    <w:rsid w:val="660E42F4"/>
    <w:rsid w:val="661453A8"/>
    <w:rsid w:val="6620367B"/>
    <w:rsid w:val="66361213"/>
    <w:rsid w:val="66383FF6"/>
    <w:rsid w:val="66522329"/>
    <w:rsid w:val="66671620"/>
    <w:rsid w:val="666959F6"/>
    <w:rsid w:val="6677779F"/>
    <w:rsid w:val="6689467E"/>
    <w:rsid w:val="668D0510"/>
    <w:rsid w:val="66903947"/>
    <w:rsid w:val="669D2C2D"/>
    <w:rsid w:val="66B24A18"/>
    <w:rsid w:val="66B307C9"/>
    <w:rsid w:val="66CA6B42"/>
    <w:rsid w:val="66CF7AAA"/>
    <w:rsid w:val="66D03442"/>
    <w:rsid w:val="66DC2877"/>
    <w:rsid w:val="66E2412E"/>
    <w:rsid w:val="66E50E48"/>
    <w:rsid w:val="66EF6915"/>
    <w:rsid w:val="67010066"/>
    <w:rsid w:val="67056922"/>
    <w:rsid w:val="671038F9"/>
    <w:rsid w:val="671B3089"/>
    <w:rsid w:val="671C42E2"/>
    <w:rsid w:val="671F124A"/>
    <w:rsid w:val="672F3AAE"/>
    <w:rsid w:val="67417425"/>
    <w:rsid w:val="67481C03"/>
    <w:rsid w:val="675373A4"/>
    <w:rsid w:val="675B6E7F"/>
    <w:rsid w:val="675E5DFF"/>
    <w:rsid w:val="67647D80"/>
    <w:rsid w:val="67672E26"/>
    <w:rsid w:val="677A33C6"/>
    <w:rsid w:val="6792284F"/>
    <w:rsid w:val="679A0B4F"/>
    <w:rsid w:val="67AB3C84"/>
    <w:rsid w:val="67B47208"/>
    <w:rsid w:val="67B50FD5"/>
    <w:rsid w:val="67BA20B0"/>
    <w:rsid w:val="67BD59E3"/>
    <w:rsid w:val="67C040E2"/>
    <w:rsid w:val="67C449E5"/>
    <w:rsid w:val="67E3698B"/>
    <w:rsid w:val="67E706E1"/>
    <w:rsid w:val="67E77B39"/>
    <w:rsid w:val="67F43F57"/>
    <w:rsid w:val="67FD5D29"/>
    <w:rsid w:val="68080C18"/>
    <w:rsid w:val="68124E41"/>
    <w:rsid w:val="681678DF"/>
    <w:rsid w:val="681F33C3"/>
    <w:rsid w:val="681F6961"/>
    <w:rsid w:val="68250C0C"/>
    <w:rsid w:val="685D7650"/>
    <w:rsid w:val="68610A2F"/>
    <w:rsid w:val="68674300"/>
    <w:rsid w:val="687C5CE1"/>
    <w:rsid w:val="68805514"/>
    <w:rsid w:val="6883653C"/>
    <w:rsid w:val="68847942"/>
    <w:rsid w:val="68887955"/>
    <w:rsid w:val="68A14FBC"/>
    <w:rsid w:val="68C04A51"/>
    <w:rsid w:val="68E34B63"/>
    <w:rsid w:val="68F70384"/>
    <w:rsid w:val="68FD4705"/>
    <w:rsid w:val="690C2337"/>
    <w:rsid w:val="6922454F"/>
    <w:rsid w:val="692C0667"/>
    <w:rsid w:val="692F3C30"/>
    <w:rsid w:val="69316E2F"/>
    <w:rsid w:val="693B48BE"/>
    <w:rsid w:val="69433580"/>
    <w:rsid w:val="69472D92"/>
    <w:rsid w:val="694A528F"/>
    <w:rsid w:val="694E2071"/>
    <w:rsid w:val="695527C6"/>
    <w:rsid w:val="696B17F8"/>
    <w:rsid w:val="69747B3A"/>
    <w:rsid w:val="69766163"/>
    <w:rsid w:val="697A3B33"/>
    <w:rsid w:val="698D6C26"/>
    <w:rsid w:val="698E5ED5"/>
    <w:rsid w:val="699F76FC"/>
    <w:rsid w:val="69AC7841"/>
    <w:rsid w:val="69BA7DCA"/>
    <w:rsid w:val="69BF539E"/>
    <w:rsid w:val="69C26831"/>
    <w:rsid w:val="69C7226C"/>
    <w:rsid w:val="69D04825"/>
    <w:rsid w:val="69D44760"/>
    <w:rsid w:val="69EF55F1"/>
    <w:rsid w:val="6A3C44BF"/>
    <w:rsid w:val="6A431C46"/>
    <w:rsid w:val="6A4B7767"/>
    <w:rsid w:val="6A512EBD"/>
    <w:rsid w:val="6A520EC7"/>
    <w:rsid w:val="6A5A7031"/>
    <w:rsid w:val="6A5D032C"/>
    <w:rsid w:val="6A690940"/>
    <w:rsid w:val="6A6A0D6E"/>
    <w:rsid w:val="6A827697"/>
    <w:rsid w:val="6AA1378D"/>
    <w:rsid w:val="6AAE3CC8"/>
    <w:rsid w:val="6AAE6F53"/>
    <w:rsid w:val="6AAF19A1"/>
    <w:rsid w:val="6ACA002B"/>
    <w:rsid w:val="6ACF2A5B"/>
    <w:rsid w:val="6AD3655B"/>
    <w:rsid w:val="6AE66120"/>
    <w:rsid w:val="6AF160FF"/>
    <w:rsid w:val="6AF76E3D"/>
    <w:rsid w:val="6AF87E20"/>
    <w:rsid w:val="6B02064C"/>
    <w:rsid w:val="6B2B5267"/>
    <w:rsid w:val="6B2E6FA4"/>
    <w:rsid w:val="6B322639"/>
    <w:rsid w:val="6B4359B0"/>
    <w:rsid w:val="6B491D2B"/>
    <w:rsid w:val="6B5038D3"/>
    <w:rsid w:val="6B6F4080"/>
    <w:rsid w:val="6B7266D4"/>
    <w:rsid w:val="6B751C8F"/>
    <w:rsid w:val="6B762FEC"/>
    <w:rsid w:val="6B9073D4"/>
    <w:rsid w:val="6B9876CB"/>
    <w:rsid w:val="6B9C590C"/>
    <w:rsid w:val="6B9E3CA4"/>
    <w:rsid w:val="6BA030DA"/>
    <w:rsid w:val="6BA139D0"/>
    <w:rsid w:val="6BA621FF"/>
    <w:rsid w:val="6BAC15C2"/>
    <w:rsid w:val="6BB82705"/>
    <w:rsid w:val="6BBC191C"/>
    <w:rsid w:val="6BC01C7B"/>
    <w:rsid w:val="6BCF0811"/>
    <w:rsid w:val="6BD03B2E"/>
    <w:rsid w:val="6BD56CB1"/>
    <w:rsid w:val="6BD73371"/>
    <w:rsid w:val="6BDF49C7"/>
    <w:rsid w:val="6BF34A7E"/>
    <w:rsid w:val="6BF52465"/>
    <w:rsid w:val="6C0141A1"/>
    <w:rsid w:val="6C0E4077"/>
    <w:rsid w:val="6C137F3B"/>
    <w:rsid w:val="6C1509DA"/>
    <w:rsid w:val="6C1E2F8B"/>
    <w:rsid w:val="6C2F3361"/>
    <w:rsid w:val="6C33298D"/>
    <w:rsid w:val="6C4715C7"/>
    <w:rsid w:val="6C4B4C28"/>
    <w:rsid w:val="6C4E20F3"/>
    <w:rsid w:val="6C5169CE"/>
    <w:rsid w:val="6C517C71"/>
    <w:rsid w:val="6C56268A"/>
    <w:rsid w:val="6C566A5C"/>
    <w:rsid w:val="6C5B48DB"/>
    <w:rsid w:val="6C5B67B9"/>
    <w:rsid w:val="6C614593"/>
    <w:rsid w:val="6C636C38"/>
    <w:rsid w:val="6C6A0838"/>
    <w:rsid w:val="6C6B361C"/>
    <w:rsid w:val="6C76251B"/>
    <w:rsid w:val="6C784F24"/>
    <w:rsid w:val="6C853D89"/>
    <w:rsid w:val="6C9F4F7A"/>
    <w:rsid w:val="6CB32939"/>
    <w:rsid w:val="6CBF0B0F"/>
    <w:rsid w:val="6CC82CD1"/>
    <w:rsid w:val="6CD00EE9"/>
    <w:rsid w:val="6CE11D05"/>
    <w:rsid w:val="6CF0294C"/>
    <w:rsid w:val="6D00398A"/>
    <w:rsid w:val="6D10490B"/>
    <w:rsid w:val="6D1B122F"/>
    <w:rsid w:val="6D202D90"/>
    <w:rsid w:val="6D27707C"/>
    <w:rsid w:val="6D3729C7"/>
    <w:rsid w:val="6D3F773B"/>
    <w:rsid w:val="6D442696"/>
    <w:rsid w:val="6D483ADC"/>
    <w:rsid w:val="6D586747"/>
    <w:rsid w:val="6D5A2E5A"/>
    <w:rsid w:val="6D5F175C"/>
    <w:rsid w:val="6D725A6D"/>
    <w:rsid w:val="6D7B639C"/>
    <w:rsid w:val="6D900A03"/>
    <w:rsid w:val="6D916257"/>
    <w:rsid w:val="6D946FD7"/>
    <w:rsid w:val="6DA65F82"/>
    <w:rsid w:val="6DB34098"/>
    <w:rsid w:val="6DB545B6"/>
    <w:rsid w:val="6DBC6738"/>
    <w:rsid w:val="6DC12AD3"/>
    <w:rsid w:val="6DC97F62"/>
    <w:rsid w:val="6DCE3B09"/>
    <w:rsid w:val="6DDC47CB"/>
    <w:rsid w:val="6DE02FB4"/>
    <w:rsid w:val="6DEB1413"/>
    <w:rsid w:val="6DEB2BB7"/>
    <w:rsid w:val="6DF75CD1"/>
    <w:rsid w:val="6E034DF0"/>
    <w:rsid w:val="6E147912"/>
    <w:rsid w:val="6E171562"/>
    <w:rsid w:val="6E200948"/>
    <w:rsid w:val="6E350AFB"/>
    <w:rsid w:val="6E3A7BA0"/>
    <w:rsid w:val="6E514CED"/>
    <w:rsid w:val="6E536E00"/>
    <w:rsid w:val="6E587222"/>
    <w:rsid w:val="6E592F8D"/>
    <w:rsid w:val="6E5F2572"/>
    <w:rsid w:val="6E67180D"/>
    <w:rsid w:val="6E716FB7"/>
    <w:rsid w:val="6E7C1198"/>
    <w:rsid w:val="6E801FAF"/>
    <w:rsid w:val="6E86194B"/>
    <w:rsid w:val="6E86738A"/>
    <w:rsid w:val="6E8E103E"/>
    <w:rsid w:val="6E9D75F2"/>
    <w:rsid w:val="6EA11A99"/>
    <w:rsid w:val="6EAA543E"/>
    <w:rsid w:val="6EB563D5"/>
    <w:rsid w:val="6EC250F7"/>
    <w:rsid w:val="6EC82342"/>
    <w:rsid w:val="6ED13B60"/>
    <w:rsid w:val="6ED92677"/>
    <w:rsid w:val="6EE808AB"/>
    <w:rsid w:val="6EF66042"/>
    <w:rsid w:val="6F065A02"/>
    <w:rsid w:val="6F085157"/>
    <w:rsid w:val="6F0A3094"/>
    <w:rsid w:val="6F1634E4"/>
    <w:rsid w:val="6F1A0035"/>
    <w:rsid w:val="6F225983"/>
    <w:rsid w:val="6F2F1B97"/>
    <w:rsid w:val="6F3114D5"/>
    <w:rsid w:val="6F44240A"/>
    <w:rsid w:val="6F4E742D"/>
    <w:rsid w:val="6F543D34"/>
    <w:rsid w:val="6F615C4D"/>
    <w:rsid w:val="6F6354B8"/>
    <w:rsid w:val="6F87357D"/>
    <w:rsid w:val="6F8F2B1C"/>
    <w:rsid w:val="6FA93CAE"/>
    <w:rsid w:val="6FB7780E"/>
    <w:rsid w:val="6FBE5B69"/>
    <w:rsid w:val="6FD55DE9"/>
    <w:rsid w:val="6FDC4354"/>
    <w:rsid w:val="6FDC46B0"/>
    <w:rsid w:val="6FF651DB"/>
    <w:rsid w:val="6FFA0223"/>
    <w:rsid w:val="6FFA4A13"/>
    <w:rsid w:val="6FFC5590"/>
    <w:rsid w:val="7009319D"/>
    <w:rsid w:val="700F0A19"/>
    <w:rsid w:val="702056B0"/>
    <w:rsid w:val="70214CC0"/>
    <w:rsid w:val="7025417B"/>
    <w:rsid w:val="702A0A66"/>
    <w:rsid w:val="70311C6C"/>
    <w:rsid w:val="70363135"/>
    <w:rsid w:val="704B27F1"/>
    <w:rsid w:val="70541D68"/>
    <w:rsid w:val="705E4805"/>
    <w:rsid w:val="70670372"/>
    <w:rsid w:val="70693562"/>
    <w:rsid w:val="706D1DD0"/>
    <w:rsid w:val="7078569C"/>
    <w:rsid w:val="70856B87"/>
    <w:rsid w:val="70882E3E"/>
    <w:rsid w:val="709807D3"/>
    <w:rsid w:val="709D271E"/>
    <w:rsid w:val="70AE1317"/>
    <w:rsid w:val="70B10E81"/>
    <w:rsid w:val="70B630FF"/>
    <w:rsid w:val="70BF071B"/>
    <w:rsid w:val="70C75ED5"/>
    <w:rsid w:val="70C84D83"/>
    <w:rsid w:val="70D527EE"/>
    <w:rsid w:val="70EC0ED6"/>
    <w:rsid w:val="70F75013"/>
    <w:rsid w:val="70FC5AFC"/>
    <w:rsid w:val="71115BAD"/>
    <w:rsid w:val="71247597"/>
    <w:rsid w:val="7125542E"/>
    <w:rsid w:val="712779F7"/>
    <w:rsid w:val="712E2AD3"/>
    <w:rsid w:val="713676B6"/>
    <w:rsid w:val="713745EC"/>
    <w:rsid w:val="713F7A9D"/>
    <w:rsid w:val="7142166B"/>
    <w:rsid w:val="71535D19"/>
    <w:rsid w:val="715B5300"/>
    <w:rsid w:val="717055F4"/>
    <w:rsid w:val="71722821"/>
    <w:rsid w:val="7173602D"/>
    <w:rsid w:val="71752CEB"/>
    <w:rsid w:val="718950D2"/>
    <w:rsid w:val="719B0696"/>
    <w:rsid w:val="719D3D79"/>
    <w:rsid w:val="71B0182C"/>
    <w:rsid w:val="71BD315A"/>
    <w:rsid w:val="71CD0A31"/>
    <w:rsid w:val="71D220B5"/>
    <w:rsid w:val="71D27F8A"/>
    <w:rsid w:val="71D459E8"/>
    <w:rsid w:val="71D67A34"/>
    <w:rsid w:val="71D875E7"/>
    <w:rsid w:val="71DB2985"/>
    <w:rsid w:val="71F557AA"/>
    <w:rsid w:val="71FE79E1"/>
    <w:rsid w:val="72006FA1"/>
    <w:rsid w:val="720271FA"/>
    <w:rsid w:val="722C109F"/>
    <w:rsid w:val="72410597"/>
    <w:rsid w:val="72551EB1"/>
    <w:rsid w:val="72553024"/>
    <w:rsid w:val="725E4DF8"/>
    <w:rsid w:val="72712A53"/>
    <w:rsid w:val="727B365C"/>
    <w:rsid w:val="728967C9"/>
    <w:rsid w:val="728C70A8"/>
    <w:rsid w:val="72904A98"/>
    <w:rsid w:val="72A74880"/>
    <w:rsid w:val="72A80070"/>
    <w:rsid w:val="72BC1728"/>
    <w:rsid w:val="72BF1E3F"/>
    <w:rsid w:val="72BF6F3C"/>
    <w:rsid w:val="72CA4F95"/>
    <w:rsid w:val="72CC34E3"/>
    <w:rsid w:val="72D85401"/>
    <w:rsid w:val="72E97A29"/>
    <w:rsid w:val="730C104F"/>
    <w:rsid w:val="73122968"/>
    <w:rsid w:val="731F5D5E"/>
    <w:rsid w:val="73254219"/>
    <w:rsid w:val="732778FA"/>
    <w:rsid w:val="732D0ECC"/>
    <w:rsid w:val="732D5DB1"/>
    <w:rsid w:val="733638FA"/>
    <w:rsid w:val="733F6B4E"/>
    <w:rsid w:val="734140FA"/>
    <w:rsid w:val="73486560"/>
    <w:rsid w:val="734A6269"/>
    <w:rsid w:val="734A7D8C"/>
    <w:rsid w:val="73613972"/>
    <w:rsid w:val="736F4B66"/>
    <w:rsid w:val="73985D63"/>
    <w:rsid w:val="739F1896"/>
    <w:rsid w:val="73B304DB"/>
    <w:rsid w:val="73BC6112"/>
    <w:rsid w:val="73BF2A23"/>
    <w:rsid w:val="73C51AD5"/>
    <w:rsid w:val="73E030DA"/>
    <w:rsid w:val="73E36D52"/>
    <w:rsid w:val="73EF036C"/>
    <w:rsid w:val="73EF14A8"/>
    <w:rsid w:val="740E6D17"/>
    <w:rsid w:val="741C581E"/>
    <w:rsid w:val="741E793C"/>
    <w:rsid w:val="743B5D58"/>
    <w:rsid w:val="744F3D1E"/>
    <w:rsid w:val="74574E4F"/>
    <w:rsid w:val="745E3944"/>
    <w:rsid w:val="746633EC"/>
    <w:rsid w:val="746E603E"/>
    <w:rsid w:val="747815B4"/>
    <w:rsid w:val="7487300F"/>
    <w:rsid w:val="748814DE"/>
    <w:rsid w:val="7490029A"/>
    <w:rsid w:val="74AA54C3"/>
    <w:rsid w:val="74B02976"/>
    <w:rsid w:val="74D57ED9"/>
    <w:rsid w:val="74DF760F"/>
    <w:rsid w:val="74E30F6E"/>
    <w:rsid w:val="74E6338F"/>
    <w:rsid w:val="74F00916"/>
    <w:rsid w:val="74F06B05"/>
    <w:rsid w:val="74F87AB5"/>
    <w:rsid w:val="75101620"/>
    <w:rsid w:val="751D2FF3"/>
    <w:rsid w:val="751D7C32"/>
    <w:rsid w:val="75236A6F"/>
    <w:rsid w:val="75242004"/>
    <w:rsid w:val="753A0E1E"/>
    <w:rsid w:val="754861DE"/>
    <w:rsid w:val="75574423"/>
    <w:rsid w:val="75584B92"/>
    <w:rsid w:val="75657256"/>
    <w:rsid w:val="75686C22"/>
    <w:rsid w:val="756D2E05"/>
    <w:rsid w:val="75725B90"/>
    <w:rsid w:val="75776F4D"/>
    <w:rsid w:val="757F0BE9"/>
    <w:rsid w:val="7589038E"/>
    <w:rsid w:val="758936CB"/>
    <w:rsid w:val="75A25A62"/>
    <w:rsid w:val="75AD277A"/>
    <w:rsid w:val="75AE6AD3"/>
    <w:rsid w:val="75B63E72"/>
    <w:rsid w:val="75B672AD"/>
    <w:rsid w:val="75B73818"/>
    <w:rsid w:val="75BA7B40"/>
    <w:rsid w:val="75BD2DB7"/>
    <w:rsid w:val="75C713DB"/>
    <w:rsid w:val="75E97448"/>
    <w:rsid w:val="75F12B74"/>
    <w:rsid w:val="76057324"/>
    <w:rsid w:val="761E62DD"/>
    <w:rsid w:val="76270254"/>
    <w:rsid w:val="76275411"/>
    <w:rsid w:val="7635099D"/>
    <w:rsid w:val="763D2F33"/>
    <w:rsid w:val="763D60C3"/>
    <w:rsid w:val="763F773C"/>
    <w:rsid w:val="7643020A"/>
    <w:rsid w:val="764921F1"/>
    <w:rsid w:val="766856D9"/>
    <w:rsid w:val="766D423B"/>
    <w:rsid w:val="76707FAD"/>
    <w:rsid w:val="768439E7"/>
    <w:rsid w:val="76877C02"/>
    <w:rsid w:val="76906B3C"/>
    <w:rsid w:val="769A03B0"/>
    <w:rsid w:val="76B666A3"/>
    <w:rsid w:val="76BB05E0"/>
    <w:rsid w:val="76C03F5A"/>
    <w:rsid w:val="76C06C58"/>
    <w:rsid w:val="76C53BA1"/>
    <w:rsid w:val="76CB1BAA"/>
    <w:rsid w:val="76D173A4"/>
    <w:rsid w:val="76D935FC"/>
    <w:rsid w:val="76E2057C"/>
    <w:rsid w:val="76EE413E"/>
    <w:rsid w:val="770E0094"/>
    <w:rsid w:val="771B7C8B"/>
    <w:rsid w:val="77227941"/>
    <w:rsid w:val="77357478"/>
    <w:rsid w:val="77457914"/>
    <w:rsid w:val="774E6406"/>
    <w:rsid w:val="775112FB"/>
    <w:rsid w:val="775C6D89"/>
    <w:rsid w:val="776E5A91"/>
    <w:rsid w:val="776E6129"/>
    <w:rsid w:val="776F39AC"/>
    <w:rsid w:val="77722804"/>
    <w:rsid w:val="77762421"/>
    <w:rsid w:val="77764FCA"/>
    <w:rsid w:val="77787561"/>
    <w:rsid w:val="777A2983"/>
    <w:rsid w:val="778305C6"/>
    <w:rsid w:val="77986B14"/>
    <w:rsid w:val="77A912FB"/>
    <w:rsid w:val="77A96E18"/>
    <w:rsid w:val="77B56B1F"/>
    <w:rsid w:val="77B94C67"/>
    <w:rsid w:val="77C90D9E"/>
    <w:rsid w:val="77D07F5A"/>
    <w:rsid w:val="77D35AB7"/>
    <w:rsid w:val="78036150"/>
    <w:rsid w:val="78093CB9"/>
    <w:rsid w:val="780F09F4"/>
    <w:rsid w:val="78143A57"/>
    <w:rsid w:val="7817663E"/>
    <w:rsid w:val="78207A21"/>
    <w:rsid w:val="782B10E6"/>
    <w:rsid w:val="782C1E83"/>
    <w:rsid w:val="782E7DCF"/>
    <w:rsid w:val="783F6FA5"/>
    <w:rsid w:val="784F6A5E"/>
    <w:rsid w:val="785C3CCB"/>
    <w:rsid w:val="786018C0"/>
    <w:rsid w:val="788016F1"/>
    <w:rsid w:val="78862A4B"/>
    <w:rsid w:val="78926E6F"/>
    <w:rsid w:val="78932A58"/>
    <w:rsid w:val="78A90480"/>
    <w:rsid w:val="78AC083B"/>
    <w:rsid w:val="78B15BD8"/>
    <w:rsid w:val="78BB4734"/>
    <w:rsid w:val="78D95035"/>
    <w:rsid w:val="78DE5087"/>
    <w:rsid w:val="78E1120A"/>
    <w:rsid w:val="78E66D62"/>
    <w:rsid w:val="78ED26A6"/>
    <w:rsid w:val="78F126CD"/>
    <w:rsid w:val="78F46947"/>
    <w:rsid w:val="78F72474"/>
    <w:rsid w:val="79112545"/>
    <w:rsid w:val="791A7870"/>
    <w:rsid w:val="791F24EE"/>
    <w:rsid w:val="7930379E"/>
    <w:rsid w:val="79312A57"/>
    <w:rsid w:val="7932141F"/>
    <w:rsid w:val="793752B4"/>
    <w:rsid w:val="795A2583"/>
    <w:rsid w:val="796050D7"/>
    <w:rsid w:val="797E19AE"/>
    <w:rsid w:val="797F5926"/>
    <w:rsid w:val="79937E56"/>
    <w:rsid w:val="799B31B3"/>
    <w:rsid w:val="79A261BD"/>
    <w:rsid w:val="79C4486E"/>
    <w:rsid w:val="79C46DDE"/>
    <w:rsid w:val="79D24775"/>
    <w:rsid w:val="79D37821"/>
    <w:rsid w:val="79DA3E0A"/>
    <w:rsid w:val="79DC6612"/>
    <w:rsid w:val="79E9327B"/>
    <w:rsid w:val="79F34A9C"/>
    <w:rsid w:val="7A22188B"/>
    <w:rsid w:val="7A266637"/>
    <w:rsid w:val="7A364017"/>
    <w:rsid w:val="7A367786"/>
    <w:rsid w:val="7A45110F"/>
    <w:rsid w:val="7A471719"/>
    <w:rsid w:val="7A4918C7"/>
    <w:rsid w:val="7A5F7BDA"/>
    <w:rsid w:val="7A646FF7"/>
    <w:rsid w:val="7A6B6344"/>
    <w:rsid w:val="7A6C0DF3"/>
    <w:rsid w:val="7A727E77"/>
    <w:rsid w:val="7A81683F"/>
    <w:rsid w:val="7A8265E1"/>
    <w:rsid w:val="7A9140DC"/>
    <w:rsid w:val="7A936FD1"/>
    <w:rsid w:val="7AB47088"/>
    <w:rsid w:val="7ABA3FB7"/>
    <w:rsid w:val="7ACB6477"/>
    <w:rsid w:val="7ACD5BAD"/>
    <w:rsid w:val="7AD13C1F"/>
    <w:rsid w:val="7AE470A2"/>
    <w:rsid w:val="7AE77059"/>
    <w:rsid w:val="7AED56DD"/>
    <w:rsid w:val="7AF12D8C"/>
    <w:rsid w:val="7B0A3EB1"/>
    <w:rsid w:val="7B0B3D19"/>
    <w:rsid w:val="7B0E6810"/>
    <w:rsid w:val="7B2170DD"/>
    <w:rsid w:val="7B330982"/>
    <w:rsid w:val="7B3945E6"/>
    <w:rsid w:val="7B434309"/>
    <w:rsid w:val="7B4667EE"/>
    <w:rsid w:val="7B474587"/>
    <w:rsid w:val="7B4A3F44"/>
    <w:rsid w:val="7B557B13"/>
    <w:rsid w:val="7B5D48C2"/>
    <w:rsid w:val="7B5F61A8"/>
    <w:rsid w:val="7B60592B"/>
    <w:rsid w:val="7B686D42"/>
    <w:rsid w:val="7B841746"/>
    <w:rsid w:val="7B8B572C"/>
    <w:rsid w:val="7B8D4DEA"/>
    <w:rsid w:val="7B8F7106"/>
    <w:rsid w:val="7BA81AA2"/>
    <w:rsid w:val="7BAE3378"/>
    <w:rsid w:val="7BC0465E"/>
    <w:rsid w:val="7BC733E3"/>
    <w:rsid w:val="7BCA6E10"/>
    <w:rsid w:val="7BCB02B4"/>
    <w:rsid w:val="7BD34E0E"/>
    <w:rsid w:val="7BD34EC6"/>
    <w:rsid w:val="7BE87E40"/>
    <w:rsid w:val="7BEB5D13"/>
    <w:rsid w:val="7BFB6674"/>
    <w:rsid w:val="7C053818"/>
    <w:rsid w:val="7C0670AE"/>
    <w:rsid w:val="7C0A5BB1"/>
    <w:rsid w:val="7C0C134B"/>
    <w:rsid w:val="7C140AF5"/>
    <w:rsid w:val="7C156DE9"/>
    <w:rsid w:val="7C2340FF"/>
    <w:rsid w:val="7C310666"/>
    <w:rsid w:val="7C3E05C2"/>
    <w:rsid w:val="7C502826"/>
    <w:rsid w:val="7C555CC5"/>
    <w:rsid w:val="7C665437"/>
    <w:rsid w:val="7C6C02F0"/>
    <w:rsid w:val="7C6C5AC7"/>
    <w:rsid w:val="7C6D7BD0"/>
    <w:rsid w:val="7C715B9B"/>
    <w:rsid w:val="7C8069CE"/>
    <w:rsid w:val="7C9C73E1"/>
    <w:rsid w:val="7CAF44C5"/>
    <w:rsid w:val="7CB847B4"/>
    <w:rsid w:val="7CC6544B"/>
    <w:rsid w:val="7CCC5FFD"/>
    <w:rsid w:val="7CD21DEB"/>
    <w:rsid w:val="7CEA30B1"/>
    <w:rsid w:val="7CF60B59"/>
    <w:rsid w:val="7CFA057E"/>
    <w:rsid w:val="7D0239FF"/>
    <w:rsid w:val="7D037B22"/>
    <w:rsid w:val="7D047127"/>
    <w:rsid w:val="7D0F4DF4"/>
    <w:rsid w:val="7D0F7FFB"/>
    <w:rsid w:val="7D150D23"/>
    <w:rsid w:val="7D253B01"/>
    <w:rsid w:val="7D255984"/>
    <w:rsid w:val="7D2F2217"/>
    <w:rsid w:val="7D3A7164"/>
    <w:rsid w:val="7D3D3BF9"/>
    <w:rsid w:val="7D3F51CD"/>
    <w:rsid w:val="7D5776E5"/>
    <w:rsid w:val="7D5E40CD"/>
    <w:rsid w:val="7D743D33"/>
    <w:rsid w:val="7D774162"/>
    <w:rsid w:val="7D896824"/>
    <w:rsid w:val="7D932FCD"/>
    <w:rsid w:val="7D950E18"/>
    <w:rsid w:val="7D9C461F"/>
    <w:rsid w:val="7DA40F6D"/>
    <w:rsid w:val="7DAC5F29"/>
    <w:rsid w:val="7DB737B1"/>
    <w:rsid w:val="7DBA70D9"/>
    <w:rsid w:val="7DBD3F38"/>
    <w:rsid w:val="7DC21F63"/>
    <w:rsid w:val="7DCD56F2"/>
    <w:rsid w:val="7DD6004E"/>
    <w:rsid w:val="7DE20E48"/>
    <w:rsid w:val="7DEE60C4"/>
    <w:rsid w:val="7E076DD5"/>
    <w:rsid w:val="7E176C28"/>
    <w:rsid w:val="7E1F3C80"/>
    <w:rsid w:val="7E29750B"/>
    <w:rsid w:val="7E372570"/>
    <w:rsid w:val="7E396B57"/>
    <w:rsid w:val="7E3B0AB3"/>
    <w:rsid w:val="7E3C4F13"/>
    <w:rsid w:val="7E420415"/>
    <w:rsid w:val="7E4E29BA"/>
    <w:rsid w:val="7E5343E6"/>
    <w:rsid w:val="7E633CCF"/>
    <w:rsid w:val="7E667B51"/>
    <w:rsid w:val="7E7548A0"/>
    <w:rsid w:val="7E8A348A"/>
    <w:rsid w:val="7E8A5095"/>
    <w:rsid w:val="7E940BBF"/>
    <w:rsid w:val="7E966881"/>
    <w:rsid w:val="7EA675F8"/>
    <w:rsid w:val="7EAD0B12"/>
    <w:rsid w:val="7EB7315A"/>
    <w:rsid w:val="7EC14B61"/>
    <w:rsid w:val="7ECF2306"/>
    <w:rsid w:val="7EDB2A10"/>
    <w:rsid w:val="7EEC4286"/>
    <w:rsid w:val="7F001CE7"/>
    <w:rsid w:val="7F024361"/>
    <w:rsid w:val="7F06680D"/>
    <w:rsid w:val="7F142FC2"/>
    <w:rsid w:val="7F18616B"/>
    <w:rsid w:val="7F206990"/>
    <w:rsid w:val="7F3043C4"/>
    <w:rsid w:val="7F3C090A"/>
    <w:rsid w:val="7F420975"/>
    <w:rsid w:val="7F4642D4"/>
    <w:rsid w:val="7F587446"/>
    <w:rsid w:val="7F711BD2"/>
    <w:rsid w:val="7F7C0357"/>
    <w:rsid w:val="7F8176C7"/>
    <w:rsid w:val="7F935211"/>
    <w:rsid w:val="7FA0360D"/>
    <w:rsid w:val="7FB05856"/>
    <w:rsid w:val="7FB15535"/>
    <w:rsid w:val="7FBB5924"/>
    <w:rsid w:val="7FD55914"/>
    <w:rsid w:val="7FE47E50"/>
    <w:rsid w:val="7FEC4B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2"/>
    <w:basedOn w:val="1"/>
    <w:next w:val="1"/>
    <w:qFormat/>
    <w:locked/>
    <w:uiPriority w:val="0"/>
    <w:pPr>
      <w:keepNext/>
      <w:keepLines/>
      <w:numPr>
        <w:ilvl w:val="1"/>
        <w:numId w:val="0"/>
      </w:numPr>
      <w:adjustRightInd w:val="0"/>
      <w:spacing w:beforeLines="0" w:afterLines="0" w:line="360" w:lineRule="auto"/>
      <w:ind w:left="0" w:firstLine="482" w:firstLineChars="200"/>
      <w:jc w:val="left"/>
      <w:textAlignment w:val="baseline"/>
      <w:outlineLvl w:val="1"/>
    </w:pPr>
    <w:rPr>
      <w:b/>
      <w:szCs w:val="20"/>
    </w:rPr>
  </w:style>
  <w:style w:type="paragraph" w:styleId="7">
    <w:name w:val="heading 4"/>
    <w:basedOn w:val="1"/>
    <w:next w:val="1"/>
    <w:qFormat/>
    <w:locked/>
    <w:uiPriority w:val="0"/>
    <w:pPr>
      <w:keepNext/>
      <w:keepLines/>
      <w:numPr>
        <w:ilvl w:val="3"/>
        <w:numId w:val="0"/>
      </w:numPr>
      <w:spacing w:beforeLines="0" w:afterLines="0" w:line="360" w:lineRule="auto"/>
      <w:ind w:left="0"/>
      <w:outlineLvl w:val="3"/>
    </w:pPr>
    <w:rPr>
      <w:bCs/>
      <w:szCs w:val="28"/>
    </w:rPr>
  </w:style>
  <w:style w:type="character" w:default="1" w:styleId="21">
    <w:name w:val="Default Paragraph Font"/>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locked/>
    <w:uiPriority w:val="0"/>
    <w:pPr>
      <w:spacing w:after="120" w:line="240" w:lineRule="auto"/>
      <w:ind w:left="420" w:leftChars="200" w:firstLine="210"/>
    </w:pPr>
    <w:rPr>
      <w:sz w:val="21"/>
    </w:rPr>
  </w:style>
  <w:style w:type="paragraph" w:styleId="3">
    <w:name w:val="Body Text Indent"/>
    <w:basedOn w:val="1"/>
    <w:next w:val="4"/>
    <w:link w:val="28"/>
    <w:qFormat/>
    <w:uiPriority w:val="0"/>
    <w:pPr>
      <w:spacing w:after="120"/>
      <w:ind w:left="420" w:leftChars="200"/>
    </w:pPr>
    <w:rPr>
      <w:kern w:val="0"/>
      <w:sz w:val="24"/>
      <w:szCs w:val="20"/>
    </w:rPr>
  </w:style>
  <w:style w:type="paragraph" w:customStyle="1" w:styleId="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8">
    <w:name w:val="Normal Indent"/>
    <w:basedOn w:val="1"/>
    <w:qFormat/>
    <w:locked/>
    <w:uiPriority w:val="0"/>
    <w:pPr>
      <w:ind w:firstLine="420" w:firstLineChars="200"/>
    </w:pPr>
  </w:style>
  <w:style w:type="paragraph" w:styleId="9">
    <w:name w:val="annotation text"/>
    <w:basedOn w:val="1"/>
    <w:link w:val="26"/>
    <w:semiHidden/>
    <w:qFormat/>
    <w:uiPriority w:val="0"/>
    <w:pPr>
      <w:jc w:val="left"/>
    </w:pPr>
    <w:rPr>
      <w:kern w:val="0"/>
      <w:sz w:val="24"/>
      <w:szCs w:val="20"/>
    </w:rPr>
  </w:style>
  <w:style w:type="paragraph" w:styleId="10">
    <w:name w:val="Body Text"/>
    <w:basedOn w:val="1"/>
    <w:next w:val="1"/>
    <w:link w:val="27"/>
    <w:qFormat/>
    <w:uiPriority w:val="0"/>
    <w:pPr>
      <w:widowControl/>
      <w:snapToGrid w:val="0"/>
      <w:spacing w:before="60" w:after="160" w:line="259" w:lineRule="auto"/>
      <w:ind w:right="113"/>
    </w:pPr>
    <w:rPr>
      <w:kern w:val="0"/>
      <w:sz w:val="18"/>
      <w:szCs w:val="20"/>
    </w:rPr>
  </w:style>
  <w:style w:type="paragraph" w:styleId="11">
    <w:name w:val="Date"/>
    <w:basedOn w:val="1"/>
    <w:next w:val="1"/>
    <w:link w:val="29"/>
    <w:qFormat/>
    <w:uiPriority w:val="0"/>
    <w:pPr>
      <w:ind w:left="100" w:leftChars="2500"/>
    </w:pPr>
    <w:rPr>
      <w:kern w:val="0"/>
      <w:sz w:val="24"/>
      <w:szCs w:val="20"/>
    </w:rPr>
  </w:style>
  <w:style w:type="paragraph" w:styleId="12">
    <w:name w:val="Balloon Text"/>
    <w:basedOn w:val="1"/>
    <w:link w:val="30"/>
    <w:semiHidden/>
    <w:qFormat/>
    <w:uiPriority w:val="0"/>
    <w:rPr>
      <w:kern w:val="0"/>
      <w:sz w:val="18"/>
      <w:szCs w:val="20"/>
    </w:rPr>
  </w:style>
  <w:style w:type="paragraph" w:styleId="13">
    <w:name w:val="footer"/>
    <w:basedOn w:val="1"/>
    <w:link w:val="31"/>
    <w:qFormat/>
    <w:uiPriority w:val="99"/>
    <w:pPr>
      <w:tabs>
        <w:tab w:val="center" w:pos="4153"/>
        <w:tab w:val="right" w:pos="8306"/>
      </w:tabs>
      <w:snapToGrid w:val="0"/>
      <w:jc w:val="left"/>
    </w:pPr>
    <w:rPr>
      <w:kern w:val="0"/>
      <w:sz w:val="18"/>
      <w:szCs w:val="20"/>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toc 1"/>
    <w:basedOn w:val="1"/>
    <w:next w:val="1"/>
    <w:qFormat/>
    <w:locked/>
    <w:uiPriority w:val="39"/>
  </w:style>
  <w:style w:type="paragraph" w:styleId="16">
    <w:name w:val="Normal (Web)"/>
    <w:basedOn w:val="1"/>
    <w:link w:val="33"/>
    <w:qFormat/>
    <w:uiPriority w:val="0"/>
    <w:pPr>
      <w:widowControl/>
      <w:spacing w:before="100" w:beforeAutospacing="1" w:after="100" w:afterAutospacing="1"/>
      <w:jc w:val="left"/>
    </w:pPr>
    <w:rPr>
      <w:rFonts w:ascii="宋体" w:hAnsi="宋体"/>
      <w:kern w:val="0"/>
      <w:sz w:val="24"/>
      <w:szCs w:val="20"/>
    </w:rPr>
  </w:style>
  <w:style w:type="paragraph" w:styleId="17">
    <w:name w:val="annotation subject"/>
    <w:basedOn w:val="9"/>
    <w:next w:val="9"/>
    <w:link w:val="34"/>
    <w:semiHidden/>
    <w:qFormat/>
    <w:uiPriority w:val="0"/>
    <w:rPr>
      <w:b/>
      <w:sz w:val="24"/>
      <w:szCs w:val="20"/>
    </w:rPr>
  </w:style>
  <w:style w:type="paragraph" w:styleId="18">
    <w:name w:val="Body Text First Indent"/>
    <w:basedOn w:val="10"/>
    <w:qFormat/>
    <w:locked/>
    <w:uiPriority w:val="0"/>
    <w:pPr>
      <w:overflowPunct/>
      <w:autoSpaceDE w:val="0"/>
      <w:autoSpaceDN w:val="0"/>
      <w:adjustRightInd w:val="0"/>
      <w:spacing w:after="120" w:line="360" w:lineRule="auto"/>
      <w:ind w:firstLine="420" w:firstLineChars="100"/>
    </w:pPr>
    <w:rPr>
      <w:kern w:val="0"/>
    </w:rPr>
  </w:style>
  <w:style w:type="table" w:styleId="20">
    <w:name w:val="Table Grid"/>
    <w:basedOn w:val="19"/>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locked/>
    <w:uiPriority w:val="0"/>
  </w:style>
  <w:style w:type="character" w:styleId="23">
    <w:name w:val="Hyperlink"/>
    <w:basedOn w:val="21"/>
    <w:qFormat/>
    <w:locked/>
    <w:uiPriority w:val="0"/>
    <w:rPr>
      <w:color w:val="0000FF"/>
      <w:u w:val="single"/>
    </w:rPr>
  </w:style>
  <w:style w:type="character" w:styleId="24">
    <w:name w:val="annotation reference"/>
    <w:semiHidden/>
    <w:qFormat/>
    <w:uiPriority w:val="0"/>
    <w:rPr>
      <w:sz w:val="21"/>
    </w:rPr>
  </w:style>
  <w:style w:type="paragraph" w:customStyle="1" w:styleId="25">
    <w:name w:val="表格内容"/>
    <w:basedOn w:val="1"/>
    <w:qFormat/>
    <w:uiPriority w:val="0"/>
    <w:pPr>
      <w:widowControl w:val="0"/>
      <w:overflowPunct w:val="0"/>
      <w:adjustRightInd w:val="0"/>
      <w:spacing w:before="40" w:after="60" w:line="200" w:lineRule="atLeast"/>
      <w:jc w:val="both"/>
      <w:textAlignment w:val="baseline"/>
    </w:pPr>
    <w:rPr>
      <w:rFonts w:ascii="Arial" w:hAnsi="Arial" w:eastAsia="仿宋_GB2312" w:cs="Times New Roman"/>
      <w:szCs w:val="20"/>
    </w:rPr>
  </w:style>
  <w:style w:type="character" w:customStyle="1" w:styleId="26">
    <w:name w:val="批注文字 Char"/>
    <w:link w:val="9"/>
    <w:qFormat/>
    <w:locked/>
    <w:uiPriority w:val="0"/>
    <w:rPr>
      <w:rFonts w:ascii="Times New Roman" w:hAnsi="Times New Roman" w:eastAsia="宋体"/>
      <w:sz w:val="24"/>
    </w:rPr>
  </w:style>
  <w:style w:type="character" w:customStyle="1" w:styleId="27">
    <w:name w:val="正文文本 Char"/>
    <w:link w:val="10"/>
    <w:qFormat/>
    <w:locked/>
    <w:uiPriority w:val="0"/>
    <w:rPr>
      <w:sz w:val="18"/>
    </w:rPr>
  </w:style>
  <w:style w:type="character" w:customStyle="1" w:styleId="28">
    <w:name w:val="正文文本缩进 Char"/>
    <w:link w:val="3"/>
    <w:semiHidden/>
    <w:qFormat/>
    <w:locked/>
    <w:uiPriority w:val="0"/>
    <w:rPr>
      <w:rFonts w:ascii="Times New Roman" w:hAnsi="Times New Roman" w:eastAsia="宋体"/>
      <w:sz w:val="24"/>
    </w:rPr>
  </w:style>
  <w:style w:type="character" w:customStyle="1" w:styleId="29">
    <w:name w:val="日期 Char"/>
    <w:link w:val="11"/>
    <w:qFormat/>
    <w:locked/>
    <w:uiPriority w:val="0"/>
    <w:rPr>
      <w:rFonts w:ascii="Times New Roman" w:hAnsi="Times New Roman" w:eastAsia="宋体"/>
      <w:sz w:val="24"/>
    </w:rPr>
  </w:style>
  <w:style w:type="character" w:customStyle="1" w:styleId="30">
    <w:name w:val="批注框文本 Char"/>
    <w:link w:val="12"/>
    <w:semiHidden/>
    <w:qFormat/>
    <w:locked/>
    <w:uiPriority w:val="0"/>
    <w:rPr>
      <w:rFonts w:ascii="Times New Roman" w:hAnsi="Times New Roman" w:eastAsia="宋体"/>
      <w:sz w:val="18"/>
    </w:rPr>
  </w:style>
  <w:style w:type="character" w:customStyle="1" w:styleId="31">
    <w:name w:val="页脚 Char"/>
    <w:link w:val="13"/>
    <w:qFormat/>
    <w:locked/>
    <w:uiPriority w:val="99"/>
    <w:rPr>
      <w:sz w:val="18"/>
    </w:rPr>
  </w:style>
  <w:style w:type="character" w:customStyle="1" w:styleId="32">
    <w:name w:val="页眉 Char"/>
    <w:link w:val="14"/>
    <w:qFormat/>
    <w:locked/>
    <w:uiPriority w:val="0"/>
    <w:rPr>
      <w:sz w:val="18"/>
    </w:rPr>
  </w:style>
  <w:style w:type="character" w:customStyle="1" w:styleId="33">
    <w:name w:val="普通(网站) Char"/>
    <w:link w:val="16"/>
    <w:qFormat/>
    <w:locked/>
    <w:uiPriority w:val="0"/>
    <w:rPr>
      <w:rFonts w:ascii="宋体" w:hAnsi="宋体" w:eastAsia="宋体"/>
      <w:sz w:val="24"/>
    </w:rPr>
  </w:style>
  <w:style w:type="character" w:customStyle="1" w:styleId="34">
    <w:name w:val="批注主题 Char"/>
    <w:link w:val="17"/>
    <w:semiHidden/>
    <w:qFormat/>
    <w:locked/>
    <w:uiPriority w:val="0"/>
    <w:rPr>
      <w:rFonts w:ascii="Times New Roman" w:hAnsi="Times New Roman" w:eastAsia="宋体"/>
      <w:b/>
      <w:kern w:val="2"/>
      <w:sz w:val="24"/>
    </w:rPr>
  </w:style>
  <w:style w:type="character" w:customStyle="1" w:styleId="35">
    <w:name w:val="页脚 字符"/>
    <w:basedOn w:val="21"/>
    <w:qFormat/>
    <w:uiPriority w:val="99"/>
  </w:style>
  <w:style w:type="character" w:customStyle="1" w:styleId="36">
    <w:name w:val="正文文本 字符1"/>
    <w:semiHidden/>
    <w:qFormat/>
    <w:uiPriority w:val="0"/>
    <w:rPr>
      <w:rFonts w:ascii="Times New Roman" w:hAnsi="Times New Roman" w:eastAsia="宋体"/>
      <w:sz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Cs w:val="20"/>
    </w:rPr>
  </w:style>
  <w:style w:type="character" w:customStyle="1" w:styleId="39">
    <w:name w:val="日期 字符"/>
    <w:semiHidden/>
    <w:qFormat/>
    <w:uiPriority w:val="0"/>
    <w:rPr>
      <w:rFonts w:ascii="Times New Roman" w:hAnsi="Times New Roman" w:eastAsia="宋体"/>
      <w:sz w:val="24"/>
    </w:rPr>
  </w:style>
  <w:style w:type="character" w:customStyle="1" w:styleId="40">
    <w:name w:val="批注文字 字符1"/>
    <w:semiHidden/>
    <w:qFormat/>
    <w:uiPriority w:val="0"/>
    <w:rPr>
      <w:rFonts w:ascii="Times New Roman" w:hAnsi="Times New Roman" w:eastAsia="宋体"/>
      <w:sz w:val="24"/>
    </w:rPr>
  </w:style>
  <w:style w:type="paragraph" w:customStyle="1" w:styleId="4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3">
    <w:name w:val="报告表文本"/>
    <w:basedOn w:val="1"/>
    <w:qFormat/>
    <w:uiPriority w:val="0"/>
    <w:pPr>
      <w:autoSpaceDE w:val="0"/>
      <w:autoSpaceDN w:val="0"/>
      <w:adjustRightInd w:val="0"/>
      <w:snapToGrid w:val="0"/>
      <w:spacing w:line="360" w:lineRule="auto"/>
      <w:ind w:firstLine="720" w:firstLineChars="200"/>
      <w:jc w:val="both"/>
    </w:pPr>
    <w:rPr>
      <w:rFonts w:ascii="Times New Roman" w:hAnsi="Times New Roman" w:eastAsia="宋体" w:cs="Times New Roman"/>
      <w:kern w:val="0"/>
      <w:szCs w:val="21"/>
    </w:rPr>
  </w:style>
  <w:style w:type="paragraph" w:customStyle="1" w:styleId="44">
    <w:name w:val="报告表标题"/>
    <w:basedOn w:val="43"/>
    <w:qFormat/>
    <w:uiPriority w:val="0"/>
    <w:pPr>
      <w:autoSpaceDE w:val="0"/>
      <w:autoSpaceDN w:val="0"/>
      <w:adjustRightInd w:val="0"/>
      <w:snapToGrid w:val="0"/>
      <w:ind w:firstLine="0" w:firstLineChars="0"/>
      <w:jc w:val="center"/>
    </w:pPr>
    <w:rPr>
      <w:rFonts w:ascii="Times New Roman" w:hAnsi="Times New Roman" w:eastAsia="宋体"/>
    </w:rPr>
  </w:style>
  <w:style w:type="paragraph" w:customStyle="1" w:styleId="45">
    <w:name w:val="报告表表格内容"/>
    <w:basedOn w:val="43"/>
    <w:qFormat/>
    <w:uiPriority w:val="0"/>
    <w:pPr>
      <w:autoSpaceDE w:val="0"/>
      <w:autoSpaceDN w:val="0"/>
      <w:adjustRightInd w:val="0"/>
      <w:snapToGrid w:val="0"/>
      <w:spacing w:line="240" w:lineRule="auto"/>
      <w:ind w:firstLine="0" w:firstLineChars="0"/>
      <w:jc w:val="center"/>
    </w:pPr>
    <w:rPr>
      <w:sz w:val="20"/>
    </w:rPr>
  </w:style>
  <w:style w:type="paragraph" w:customStyle="1" w:styleId="46">
    <w:name w:val="报告表文本二级标题"/>
    <w:basedOn w:val="43"/>
    <w:next w:val="43"/>
    <w:qFormat/>
    <w:uiPriority w:val="0"/>
    <w:pPr>
      <w:autoSpaceDE w:val="0"/>
      <w:autoSpaceDN w:val="0"/>
      <w:adjustRightInd w:val="0"/>
      <w:snapToGrid w:val="0"/>
      <w:spacing w:line="360" w:lineRule="auto"/>
      <w:ind w:firstLine="0" w:firstLineChars="0"/>
    </w:pPr>
    <w:rPr>
      <w:rFonts w:hint="eastAsia"/>
      <w:b/>
    </w:rPr>
  </w:style>
  <w:style w:type="paragraph" w:customStyle="1" w:styleId="47">
    <w:name w:val="报告表文本三级标题"/>
    <w:basedOn w:val="1"/>
    <w:next w:val="43"/>
    <w:qFormat/>
    <w:uiPriority w:val="0"/>
    <w:pPr>
      <w:autoSpaceDE w:val="0"/>
      <w:autoSpaceDN w:val="0"/>
      <w:adjustRightInd w:val="0"/>
      <w:snapToGrid w:val="0"/>
      <w:spacing w:line="360" w:lineRule="auto"/>
      <w:ind w:firstLine="720" w:firstLineChars="200"/>
    </w:pPr>
    <w:rPr>
      <w:rFonts w:ascii="Times New Roman" w:hAnsi="Times New Roman" w:eastAsia="宋体" w:cs="宋体"/>
      <w:b/>
      <w:kern w:val="0"/>
      <w:szCs w:val="21"/>
    </w:rPr>
  </w:style>
  <w:style w:type="paragraph" w:customStyle="1" w:styleId="48">
    <w:name w:val="表头"/>
    <w:basedOn w:val="1"/>
    <w:qFormat/>
    <w:uiPriority w:val="0"/>
    <w:pPr>
      <w:spacing w:line="240" w:lineRule="auto"/>
      <w:ind w:firstLine="0" w:firstLineChars="0"/>
      <w:jc w:val="center"/>
    </w:pPr>
    <w:rPr>
      <w:b/>
      <w:kern w:val="0"/>
      <w:sz w:val="21"/>
      <w:szCs w:val="20"/>
    </w:rPr>
  </w:style>
  <w:style w:type="paragraph" w:customStyle="1" w:styleId="49">
    <w:name w:val="表格内文字"/>
    <w:basedOn w:val="1"/>
    <w:qFormat/>
    <w:uiPriority w:val="0"/>
    <w:pPr>
      <w:tabs>
        <w:tab w:val="left" w:pos="0"/>
      </w:tabs>
      <w:adjustRightInd w:val="0"/>
      <w:snapToGrid w:val="0"/>
      <w:spacing w:line="240" w:lineRule="auto"/>
      <w:ind w:firstLine="0" w:firstLineChars="0"/>
      <w:jc w:val="center"/>
    </w:pPr>
    <w:rPr>
      <w:rFonts w:eastAsia="宋体"/>
      <w:sz w:val="21"/>
    </w:rPr>
  </w:style>
  <w:style w:type="paragraph" w:customStyle="1" w:styleId="50">
    <w:name w:val="表格文字"/>
    <w:basedOn w:val="1"/>
    <w:qFormat/>
    <w:uiPriority w:val="0"/>
    <w:pPr>
      <w:adjustRightInd w:val="0"/>
      <w:snapToGrid w:val="0"/>
      <w:spacing w:line="240" w:lineRule="auto"/>
      <w:ind w:firstLine="0" w:firstLineChars="0"/>
      <w:jc w:val="center"/>
    </w:pPr>
    <w:rPr>
      <w:kern w:val="44"/>
      <w:sz w:val="21"/>
      <w:szCs w:val="20"/>
    </w:rPr>
  </w:style>
  <w:style w:type="character" w:customStyle="1" w:styleId="51">
    <w:name w:val="font21"/>
    <w:basedOn w:val="21"/>
    <w:qFormat/>
    <w:uiPriority w:val="0"/>
    <w:rPr>
      <w:rFonts w:hint="eastAsia" w:ascii="宋体" w:hAnsi="宋体" w:eastAsia="宋体" w:cs="宋体"/>
      <w:color w:val="000000"/>
      <w:sz w:val="21"/>
      <w:szCs w:val="21"/>
      <w:u w:val="none"/>
    </w:rPr>
  </w:style>
  <w:style w:type="character" w:customStyle="1" w:styleId="52">
    <w:name w:val="font01"/>
    <w:basedOn w:val="21"/>
    <w:qFormat/>
    <w:uiPriority w:val="0"/>
    <w:rPr>
      <w:rFonts w:hint="default" w:ascii="Times New Roman" w:hAnsi="Times New Roman" w:cs="Times New Roman"/>
      <w:color w:val="000000"/>
      <w:sz w:val="21"/>
      <w:szCs w:val="21"/>
      <w:u w:val="none"/>
    </w:rPr>
  </w:style>
  <w:style w:type="character" w:customStyle="1" w:styleId="53">
    <w:name w:val="font41"/>
    <w:basedOn w:val="21"/>
    <w:qFormat/>
    <w:uiPriority w:val="0"/>
    <w:rPr>
      <w:rFonts w:hint="default" w:ascii="Times New Roman" w:hAnsi="Times New Roman" w:cs="Times New Roman"/>
      <w:color w:val="000000"/>
      <w:sz w:val="21"/>
      <w:szCs w:val="21"/>
      <w:u w:val="none"/>
      <w:vertAlign w:val="subscript"/>
    </w:rPr>
  </w:style>
  <w:style w:type="paragraph" w:customStyle="1" w:styleId="5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5">
    <w:name w:val="Table Paragraph"/>
    <w:basedOn w:val="1"/>
    <w:qFormat/>
    <w:uiPriority w:val="1"/>
  </w:style>
  <w:style w:type="character" w:customStyle="1" w:styleId="56">
    <w:name w:val="font11"/>
    <w:basedOn w:val="21"/>
    <w:qFormat/>
    <w:uiPriority w:val="0"/>
    <w:rPr>
      <w:rFonts w:hint="default" w:ascii="Times New Roman" w:hAnsi="Times New Roman" w:cs="Times New Roman"/>
      <w:color w:val="000000"/>
      <w:sz w:val="21"/>
      <w:szCs w:val="21"/>
      <w:u w:val="none"/>
    </w:rPr>
  </w:style>
  <w:style w:type="character" w:customStyle="1" w:styleId="57">
    <w:name w:val="font31"/>
    <w:basedOn w:val="21"/>
    <w:qFormat/>
    <w:uiPriority w:val="0"/>
    <w:rPr>
      <w:rFonts w:hint="eastAsia" w:ascii="宋体" w:hAnsi="宋体" w:eastAsia="宋体" w:cs="宋体"/>
      <w:color w:val="000000"/>
      <w:sz w:val="21"/>
      <w:szCs w:val="21"/>
      <w:u w:val="none"/>
    </w:rPr>
  </w:style>
  <w:style w:type="character" w:customStyle="1" w:styleId="58">
    <w:name w:val="font61"/>
    <w:basedOn w:val="21"/>
    <w:qFormat/>
    <w:uiPriority w:val="0"/>
    <w:rPr>
      <w:rFonts w:hint="eastAsia" w:ascii="宋体" w:hAnsi="宋体" w:eastAsia="宋体" w:cs="宋体"/>
      <w:color w:val="000000"/>
      <w:sz w:val="18"/>
      <w:szCs w:val="18"/>
      <w:u w:val="none"/>
    </w:rPr>
  </w:style>
  <w:style w:type="character" w:customStyle="1" w:styleId="59">
    <w:name w:val="font81"/>
    <w:basedOn w:val="21"/>
    <w:qFormat/>
    <w:uiPriority w:val="0"/>
    <w:rPr>
      <w:rFonts w:hint="eastAsia" w:ascii="宋体" w:hAnsi="宋体" w:eastAsia="宋体" w:cs="宋体"/>
      <w:color w:val="000000"/>
      <w:sz w:val="20"/>
      <w:szCs w:val="20"/>
      <w:u w:val="none"/>
      <w:vertAlign w:val="superscript"/>
    </w:rPr>
  </w:style>
  <w:style w:type="character" w:customStyle="1" w:styleId="60">
    <w:name w:val="font91"/>
    <w:basedOn w:val="21"/>
    <w:qFormat/>
    <w:uiPriority w:val="0"/>
    <w:rPr>
      <w:rFonts w:hint="eastAsia" w:ascii="MingLiU" w:hAnsi="MingLiU" w:eastAsia="MingLiU" w:cs="MingLiU"/>
      <w:color w:val="000000"/>
      <w:sz w:val="20"/>
      <w:szCs w:val="20"/>
      <w:u w:val="none"/>
    </w:rPr>
  </w:style>
  <w:style w:type="paragraph" w:customStyle="1" w:styleId="61">
    <w:name w:val="1正文"/>
    <w:basedOn w:val="1"/>
    <w:qFormat/>
    <w:uiPriority w:val="0"/>
    <w:pPr>
      <w:spacing w:line="400" w:lineRule="exact"/>
      <w:ind w:firstLine="200" w:firstLineChars="200"/>
    </w:pPr>
    <w:rPr>
      <w:kern w:val="0"/>
    </w:rPr>
  </w:style>
  <w:style w:type="paragraph" w:customStyle="1" w:styleId="62">
    <w:name w:val="1小表"/>
    <w:basedOn w:val="1"/>
    <w:qFormat/>
    <w:uiPriority w:val="0"/>
    <w:pPr>
      <w:adjustRightInd w:val="0"/>
      <w:snapToGrid w:val="0"/>
      <w:jc w:val="center"/>
    </w:pPr>
    <w:rPr>
      <w:kern w:val="0"/>
      <w:sz w:val="20"/>
      <w:szCs w:val="21"/>
    </w:rPr>
  </w:style>
  <w:style w:type="character" w:customStyle="1" w:styleId="63">
    <w:name w:val="font51"/>
    <w:basedOn w:val="21"/>
    <w:qFormat/>
    <w:uiPriority w:val="0"/>
    <w:rPr>
      <w:rFonts w:hint="default" w:ascii="Times New Roman" w:hAnsi="Times New Roman" w:cs="Times New Roman"/>
      <w:b/>
      <w:bCs/>
      <w:color w:val="000000"/>
      <w:sz w:val="16"/>
      <w:szCs w:val="16"/>
      <w:u w:val="none"/>
      <w:vertAlign w:val="superscript"/>
    </w:rPr>
  </w:style>
  <w:style w:type="paragraph" w:customStyle="1" w:styleId="64">
    <w:name w:val="1表头"/>
    <w:basedOn w:val="61"/>
    <w:qFormat/>
    <w:uiPriority w:val="0"/>
    <w:pPr>
      <w:tabs>
        <w:tab w:val="center" w:pos="3990"/>
        <w:tab w:val="right" w:pos="8190"/>
      </w:tabs>
      <w:spacing w:before="10" w:beforeLines="10" w:after="10" w:afterLines="10"/>
      <w:ind w:firstLine="0" w:firstLineChars="0"/>
      <w:jc w:val="center"/>
    </w:pPr>
    <w:rPr>
      <w:rFonts w:ascii="Calibri" w:hAnsi="Calibri" w:eastAsia="黑体"/>
      <w:sz w:val="20"/>
    </w:rPr>
  </w:style>
  <w:style w:type="paragraph" w:customStyle="1" w:styleId="65">
    <w:name w:val="表格内容111"/>
    <w:basedOn w:val="1"/>
    <w:qFormat/>
    <w:uiPriority w:val="0"/>
    <w:pPr>
      <w:widowControl/>
      <w:adjustRightInd w:val="0"/>
      <w:snapToGrid w:val="0"/>
      <w:spacing w:line="240" w:lineRule="auto"/>
      <w:ind w:firstLine="0" w:firstLineChars="0"/>
      <w:jc w:val="center"/>
    </w:pPr>
    <w:rPr>
      <w:rFonts w:cs="宋体"/>
      <w:sz w:val="18"/>
      <w:szCs w:val="18"/>
    </w:rPr>
  </w:style>
  <w:style w:type="paragraph" w:customStyle="1" w:styleId="66">
    <w:name w:val="表内字体111"/>
    <w:basedOn w:val="1"/>
    <w:qFormat/>
    <w:uiPriority w:val="0"/>
    <w:pPr>
      <w:adjustRightInd w:val="0"/>
      <w:snapToGrid w:val="0"/>
      <w:spacing w:beforeLines="0" w:afterLines="0" w:line="240" w:lineRule="auto"/>
      <w:ind w:firstLine="0" w:firstLineChars="0"/>
      <w:jc w:val="center"/>
    </w:pPr>
    <w:rPr>
      <w:rFonts w:cs="Times New Roman"/>
      <w:snapToGrid w:val="0"/>
      <w:kern w:val="0"/>
    </w:rPr>
  </w:style>
  <w:style w:type="paragraph" w:customStyle="1" w:styleId="67">
    <w:name w:val="标题2"/>
    <w:basedOn w:val="1"/>
    <w:qFormat/>
    <w:uiPriority w:val="0"/>
    <w:pPr>
      <w:spacing w:beforeLines="50" w:afterLines="50"/>
      <w:ind w:firstLine="0" w:firstLineChars="0"/>
      <w:outlineLvl w:val="1"/>
    </w:pPr>
    <w:rPr>
      <w:rFonts w:eastAsia="宋体"/>
      <w:b/>
      <w:color w:val="000000"/>
    </w:rPr>
  </w:style>
  <w:style w:type="paragraph" w:customStyle="1" w:styleId="68">
    <w:name w:val="表名"/>
    <w:basedOn w:val="1"/>
    <w:qFormat/>
    <w:uiPriority w:val="0"/>
    <w:pPr>
      <w:widowControl/>
      <w:tabs>
        <w:tab w:val="left" w:pos="377"/>
      </w:tabs>
      <w:ind w:firstLine="0" w:firstLineChars="0"/>
      <w:jc w:val="center"/>
    </w:pPr>
    <w:rPr>
      <w:rFonts w:cs="宋体"/>
      <w:b/>
      <w:color w:val="000000"/>
      <w:kern w:val="0"/>
      <w:szCs w:val="20"/>
    </w:rPr>
  </w:style>
  <w:style w:type="paragraph" w:styleId="69">
    <w:name w:val="No Spacing"/>
    <w:next w:val="1"/>
    <w:qFormat/>
    <w:uiPriority w:val="1"/>
    <w:pPr>
      <w:widowControl w:val="0"/>
      <w:snapToGrid w:val="0"/>
      <w:jc w:val="center"/>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emf"/><Relationship Id="rId14" Type="http://schemas.openxmlformats.org/officeDocument/2006/relationships/oleObject" Target="embeddings/oleObject3.bin"/><Relationship Id="rId13" Type="http://schemas.openxmlformats.org/officeDocument/2006/relationships/image" Target="media/image4.emf"/><Relationship Id="rId12" Type="http://schemas.openxmlformats.org/officeDocument/2006/relationships/oleObject" Target="embeddings/oleObject2.bin"/><Relationship Id="rId11" Type="http://schemas.openxmlformats.org/officeDocument/2006/relationships/image" Target="media/image3.e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27"/>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38</Pages>
  <Words>27435</Words>
  <Characters>30689</Characters>
  <Lines>13</Lines>
  <Paragraphs>3</Paragraphs>
  <TotalTime>7</TotalTime>
  <ScaleCrop>false</ScaleCrop>
  <LinksUpToDate>false</LinksUpToDate>
  <CharactersWithSpaces>30967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cx</cp:lastModifiedBy>
  <cp:lastPrinted>2020-12-29T02:43:00Z</cp:lastPrinted>
  <dcterms:modified xsi:type="dcterms:W3CDTF">2021-11-17T09:17:06Z</dcterms:modified>
  <dc:title>附件2</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807288101_btnclosed</vt:lpwstr>
  </property>
  <property fmtid="{D5CDD505-2E9C-101B-9397-08002B2CF9AE}" pid="4" name="ICV">
    <vt:lpwstr>D0301962C72F4918BABC8B5DB34CC6C1</vt:lpwstr>
  </property>
</Properties>
</file>